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</w:p>
    <w:p/>
    <w:p/>
    <w:p>
      <w:pPr>
        <w:jc w:val="center"/>
        <w:rPr>
          <w:b/>
          <w:sz w:val="30"/>
        </w:rPr>
      </w:pP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XX</w:t>
      </w:r>
      <w:r>
        <w:rPr>
          <w:rFonts w:hint="eastAsia" w:eastAsia="黑体"/>
          <w:b/>
          <w:sz w:val="48"/>
          <w:szCs w:val="48"/>
        </w:rPr>
        <w:t>单位</w:t>
      </w:r>
      <w:r>
        <w:rPr>
          <w:rFonts w:eastAsia="黑体"/>
          <w:b/>
          <w:sz w:val="48"/>
          <w:szCs w:val="48"/>
        </w:rPr>
        <w:t>XX</w:t>
      </w:r>
      <w:r>
        <w:rPr>
          <w:rFonts w:hint="eastAsia" w:eastAsia="黑体"/>
          <w:b/>
          <w:sz w:val="48"/>
          <w:szCs w:val="48"/>
        </w:rPr>
        <w:t>系统与</w:t>
      </w:r>
      <w:r>
        <w:rPr>
          <w:rFonts w:hint="eastAsia" w:eastAsia="黑体"/>
          <w:b/>
          <w:sz w:val="48"/>
          <w:szCs w:val="48"/>
          <w:lang w:eastAsia="zh-CN"/>
        </w:rPr>
        <w:t>财政电子票据</w:t>
      </w:r>
      <w:r>
        <w:rPr>
          <w:rFonts w:hint="eastAsia" w:eastAsia="黑体"/>
          <w:b/>
          <w:sz w:val="48"/>
          <w:szCs w:val="48"/>
        </w:rPr>
        <w:t>管理系统对接方案</w:t>
      </w:r>
    </w:p>
    <w:p>
      <w:pPr>
        <w:jc w:val="center"/>
        <w:rPr>
          <w:rFonts w:ascii="黑体" w:eastAsia="黑体"/>
          <w:b/>
          <w:sz w:val="24"/>
          <w:szCs w:val="24"/>
        </w:rPr>
      </w:pPr>
    </w:p>
    <w:p>
      <w:pPr>
        <w:jc w:val="center"/>
        <w:rPr>
          <w:rFonts w:eastAsia="黑体"/>
          <w:b/>
          <w:sz w:val="52"/>
        </w:rPr>
      </w:pPr>
    </w:p>
    <w:p/>
    <w:p/>
    <w:p/>
    <w:p/>
    <w:p/>
    <w:p/>
    <w:p/>
    <w:p>
      <w:pPr>
        <w:jc w:val="center"/>
        <w:rPr>
          <w:kern w:val="0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ascii="楷体_GB2312" w:eastAsia="楷体_GB2312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X</w:t>
      </w:r>
      <w:r>
        <w:rPr>
          <w:rFonts w:ascii="宋体" w:hAnsi="宋体"/>
          <w:b/>
          <w:sz w:val="30"/>
          <w:szCs w:val="30"/>
        </w:rPr>
        <w:t>X</w:t>
      </w:r>
      <w:r>
        <w:rPr>
          <w:rFonts w:hint="eastAsia" w:ascii="宋体" w:hAnsi="宋体"/>
          <w:b/>
          <w:sz w:val="30"/>
          <w:szCs w:val="30"/>
        </w:rPr>
        <w:t>单位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XX</w:t>
      </w:r>
      <w:r>
        <w:rPr>
          <w:rFonts w:hint="eastAsia" w:ascii="宋体" w:hAnsi="宋体"/>
          <w:b/>
          <w:sz w:val="28"/>
          <w:szCs w:val="28"/>
        </w:rPr>
        <w:t>年X</w:t>
      </w:r>
      <w:r>
        <w:rPr>
          <w:rFonts w:ascii="宋体" w:hAnsi="宋体"/>
          <w:b/>
          <w:sz w:val="28"/>
          <w:szCs w:val="28"/>
        </w:rPr>
        <w:t>X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pStyle w:val="4"/>
        <w:ind w:firstLine="480"/>
        <w:jc w:val="center"/>
        <w:rPr>
          <w:rFonts w:eastAsia="黑体"/>
          <w:b/>
          <w:sz w:val="30"/>
        </w:rPr>
      </w:pPr>
      <w:r>
        <w:br w:type="page"/>
      </w:r>
      <w:r>
        <w:rPr>
          <w:rFonts w:hint="eastAsia" w:eastAsia="黑体"/>
          <w:b/>
          <w:sz w:val="30"/>
        </w:rPr>
        <w:t>文档修改记录表</w:t>
      </w:r>
    </w:p>
    <w:tbl>
      <w:tblPr>
        <w:tblStyle w:val="18"/>
        <w:tblW w:w="8520" w:type="dxa"/>
        <w:jc w:val="center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C0C0C0" w:sz="6" w:space="0"/>
          <w:insideV w:val="single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232"/>
        <w:gridCol w:w="4741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修改人</w:t>
            </w:r>
          </w:p>
        </w:tc>
        <w:tc>
          <w:tcPr>
            <w:tcW w:w="223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修改时间</w:t>
            </w:r>
          </w:p>
        </w:tc>
        <w:tc>
          <w:tcPr>
            <w:tcW w:w="474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修改内容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/>
              </w:rPr>
            </w:pPr>
          </w:p>
        </w:tc>
        <w:tc>
          <w:tcPr>
            <w:tcW w:w="2232" w:type="dxa"/>
          </w:tcPr>
          <w:p>
            <w:pPr>
              <w:pStyle w:val="13"/>
              <w:spacing w:line="240" w:lineRule="auto"/>
              <w:rPr>
                <w:rFonts w:ascii="宋体"/>
                <w:b w:val="0"/>
                <w:sz w:val="21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C0C0C0" w:sz="6" w:space="0"/>
            <w:insideV w:val="single" w:color="C0C0C0" w:sz="6" w:space="0"/>
          </w:tblBorders>
        </w:tblPrEx>
        <w:trPr>
          <w:jc w:val="center"/>
        </w:trPr>
        <w:tc>
          <w:tcPr>
            <w:tcW w:w="1547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2232" w:type="dxa"/>
          </w:tcPr>
          <w:p>
            <w:pPr>
              <w:rPr>
                <w:rFonts w:ascii="宋体" w:eastAsia="楷体_GB2312"/>
              </w:rPr>
            </w:pPr>
          </w:p>
        </w:tc>
        <w:tc>
          <w:tcPr>
            <w:tcW w:w="4741" w:type="dxa"/>
          </w:tcPr>
          <w:p>
            <w:pPr>
              <w:rPr>
                <w:rFonts w:ascii="宋体" w:eastAsia="楷体_GB2312"/>
              </w:rPr>
            </w:pP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br w:type="page"/>
      </w:r>
      <w:r>
        <w:rPr>
          <w:rFonts w:hint="eastAsia" w:ascii="黑体" w:eastAsia="黑体"/>
          <w:sz w:val="44"/>
          <w:szCs w:val="44"/>
        </w:rPr>
        <w:t>目  录</w:t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"_Toc512699435" </w:instrText>
      </w:r>
      <w:r>
        <w:fldChar w:fldCharType="separate"/>
      </w:r>
      <w:r>
        <w:rPr>
          <w:rStyle w:val="20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建设背景</w:t>
      </w:r>
      <w:r>
        <w:tab/>
      </w:r>
      <w:r>
        <w:fldChar w:fldCharType="begin"/>
      </w:r>
      <w:r>
        <w:instrText xml:space="preserve"> PAGEREF _Toc512699435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"_Toc512699436" </w:instrText>
      </w:r>
      <w:r>
        <w:fldChar w:fldCharType="separate"/>
      </w:r>
      <w:r>
        <w:rPr>
          <w:rStyle w:val="20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建设目标</w:t>
      </w:r>
      <w:r>
        <w:tab/>
      </w:r>
      <w:r>
        <w:fldChar w:fldCharType="begin"/>
      </w:r>
      <w:r>
        <w:instrText xml:space="preserve"> PAGEREF _Toc512699436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"_Toc512699437" </w:instrText>
      </w:r>
      <w:r>
        <w:fldChar w:fldCharType="separate"/>
      </w:r>
      <w:r>
        <w:rPr>
          <w:rStyle w:val="20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系统总体流程</w:t>
      </w:r>
      <w:r>
        <w:tab/>
      </w:r>
      <w:r>
        <w:fldChar w:fldCharType="begin"/>
      </w:r>
      <w:r>
        <w:instrText xml:space="preserve"> PAGEREF _Toc512699437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"_Toc512699438" </w:instrText>
      </w:r>
      <w:r>
        <w:fldChar w:fldCharType="separate"/>
      </w:r>
      <w:r>
        <w:rPr>
          <w:rStyle w:val="20"/>
        </w:rPr>
        <w:t>4.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接口实现</w:t>
      </w:r>
      <w:r>
        <w:tab/>
      </w:r>
      <w:r>
        <w:fldChar w:fldCharType="begin"/>
      </w:r>
      <w:r>
        <w:instrText xml:space="preserve"> PAGEREF _Toc512699438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"_Toc512699439" </w:instrText>
      </w:r>
      <w:r>
        <w:fldChar w:fldCharType="separate"/>
      </w:r>
      <w:r>
        <w:rPr>
          <w:rStyle w:val="20"/>
        </w:rPr>
        <w:t>5.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系统部署方案</w:t>
      </w:r>
      <w:r>
        <w:tab/>
      </w:r>
      <w:r>
        <w:fldChar w:fldCharType="begin"/>
      </w:r>
      <w:r>
        <w:instrText xml:space="preserve"> PAGEREF _Toc512699439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"_Toc512699440" </w:instrText>
      </w:r>
      <w:r>
        <w:fldChar w:fldCharType="separate"/>
      </w:r>
      <w:r>
        <w:rPr>
          <w:rStyle w:val="20"/>
        </w:rPr>
        <w:t>6.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系统安全保障方案</w:t>
      </w:r>
      <w:r>
        <w:tab/>
      </w:r>
      <w:r>
        <w:fldChar w:fldCharType="begin"/>
      </w:r>
      <w:r>
        <w:instrText xml:space="preserve"> PAGEREF _Toc512699440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left" w:pos="420"/>
          <w:tab w:val="right" w:leader="dot" w:pos="8302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"_Toc512699441" </w:instrText>
      </w:r>
      <w:r>
        <w:fldChar w:fldCharType="separate"/>
      </w:r>
      <w:r>
        <w:rPr>
          <w:rStyle w:val="20"/>
        </w:rPr>
        <w:t>7.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  <w:tab/>
      </w:r>
      <w:r>
        <w:rPr>
          <w:rStyle w:val="20"/>
        </w:rPr>
        <w:t>附录</w:t>
      </w:r>
      <w:r>
        <w:tab/>
      </w:r>
      <w:r>
        <w:fldChar w:fldCharType="begin"/>
      </w:r>
      <w:r>
        <w:instrText xml:space="preserve"> PAGEREF _Toc512699441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8302"/>
        </w:tabs>
      </w:pPr>
      <w:r>
        <w:fldChar w:fldCharType="begin"/>
      </w:r>
      <w:r>
        <w:instrText xml:space="preserve"> HYPERLINK \l "_Toc512699442" </w:instrText>
      </w:r>
      <w:r>
        <w:fldChar w:fldCharType="separate"/>
      </w:r>
      <w:r>
        <w:rPr>
          <w:rStyle w:val="20"/>
        </w:rPr>
        <w:t>7.1</w:t>
      </w:r>
      <w:r>
        <w:tab/>
      </w:r>
      <w:r>
        <w:rPr>
          <w:rStyle w:val="20"/>
        </w:rPr>
        <w:t>示例</w:t>
      </w:r>
      <w:r>
        <w:tab/>
      </w:r>
      <w:r>
        <w:fldChar w:fldCharType="begin"/>
      </w:r>
      <w:r>
        <w:instrText xml:space="preserve"> PAGEREF _Toc512699442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8302"/>
        </w:tabs>
      </w:pPr>
      <w:r>
        <w:fldChar w:fldCharType="begin"/>
      </w:r>
      <w:r>
        <w:instrText xml:space="preserve"> HYPERLINK \l "_Toc512699443" </w:instrText>
      </w:r>
      <w:r>
        <w:fldChar w:fldCharType="separate"/>
      </w:r>
      <w:r>
        <w:rPr>
          <w:rStyle w:val="20"/>
          <w:rFonts w:ascii="仿宋_GB2312" w:eastAsia="仿宋_GB2312"/>
        </w:rPr>
        <w:t>7.2</w:t>
      </w:r>
      <w:r>
        <w:tab/>
      </w:r>
      <w:r>
        <w:rPr>
          <w:rStyle w:val="20"/>
          <w:rFonts w:ascii="仿宋_GB2312" w:eastAsia="仿宋_GB2312"/>
        </w:rPr>
        <w:t>返回结果代码</w:t>
      </w:r>
      <w:r>
        <w:tab/>
      </w:r>
      <w:r>
        <w:fldChar w:fldCharType="begin"/>
      </w:r>
      <w:r>
        <w:instrText xml:space="preserve"> PAGEREF _Toc512699443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rPr>
          <w:b/>
          <w:bCs/>
          <w:lang w:val="zh-CN"/>
        </w:rPr>
        <w:fldChar w:fldCharType="end"/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rPr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pStyle w:val="21"/>
      </w:pPr>
      <w:bookmarkStart w:id="0" w:name="_Toc512461183"/>
      <w:bookmarkStart w:id="1" w:name="_Toc512699435"/>
      <w:r>
        <w:rPr>
          <w:rFonts w:hint="eastAsia"/>
        </w:rPr>
        <w:t>建设背景</w:t>
      </w:r>
      <w:bookmarkEnd w:id="0"/>
      <w:bookmarkEnd w:id="1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[单位财政票据使用管理情况及单位业务系统情况介绍]</w:t>
      </w:r>
    </w:p>
    <w:p>
      <w:pPr>
        <w:ind w:firstLine="480"/>
      </w:pPr>
    </w:p>
    <w:p>
      <w:pPr>
        <w:pStyle w:val="21"/>
      </w:pPr>
      <w:bookmarkStart w:id="2" w:name="_Toc511600128"/>
      <w:bookmarkEnd w:id="2"/>
      <w:bookmarkStart w:id="3" w:name="_Toc512699436"/>
      <w:bookmarkStart w:id="4" w:name="_Toc512461184"/>
      <w:r>
        <w:rPr>
          <w:rFonts w:hint="eastAsia"/>
        </w:rPr>
        <w:t>建设目标</w:t>
      </w:r>
      <w:bookmarkEnd w:id="3"/>
      <w:bookmarkEnd w:id="4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[通过建设单位业务系统与财政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电子</w:t>
      </w:r>
      <w:r>
        <w:rPr>
          <w:rFonts w:hint="eastAsia" w:ascii="仿宋_GB2312" w:eastAsia="仿宋_GB2312"/>
          <w:color w:val="FF0000"/>
          <w:sz w:val="28"/>
          <w:szCs w:val="28"/>
        </w:rPr>
        <w:t>票据管理系统的接口可以实现的目标]</w:t>
      </w:r>
    </w:p>
    <w:p>
      <w:pPr>
        <w:jc w:val="left"/>
      </w:pPr>
    </w:p>
    <w:p>
      <w:pPr>
        <w:pStyle w:val="21"/>
      </w:pPr>
      <w:bookmarkStart w:id="5" w:name="_Toc512461185"/>
      <w:bookmarkStart w:id="6" w:name="_Toc512699437"/>
      <w:r>
        <w:rPr>
          <w:rFonts w:hint="eastAsia"/>
        </w:rPr>
        <w:t>系统总体流程</w:t>
      </w:r>
      <w:bookmarkEnd w:id="5"/>
      <w:bookmarkEnd w:id="6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[描述业务数据生成，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缴款码开具、缴款人缴款渠道、</w:t>
      </w:r>
      <w:r>
        <w:rPr>
          <w:rFonts w:hint="eastAsia" w:ascii="仿宋_GB2312" w:eastAsia="仿宋_GB2312"/>
          <w:color w:val="FF0000"/>
          <w:sz w:val="28"/>
          <w:szCs w:val="28"/>
        </w:rPr>
        <w:t>电子票据开具，通知给交款人，交款人进行票据查验流程，如需打印还需要描述打印流程]</w:t>
      </w:r>
    </w:p>
    <w:p>
      <w:pPr>
        <w:pStyle w:val="21"/>
      </w:pPr>
      <w:bookmarkStart w:id="7" w:name="_Toc512461186"/>
      <w:bookmarkStart w:id="8" w:name="_Toc512699438"/>
      <w:r>
        <w:rPr>
          <w:rFonts w:hint="eastAsia"/>
        </w:rPr>
        <w:t>接口实现</w:t>
      </w:r>
      <w:bookmarkEnd w:id="7"/>
      <w:bookmarkEnd w:id="8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[使用接口规范中的哪些方法，针对每个方法调用步骤进行描述，成功、失败的处理方法，建议使用流程图+文字说明的方式]</w:t>
      </w:r>
    </w:p>
    <w:p>
      <w:pPr>
        <w:pStyle w:val="21"/>
      </w:pPr>
      <w:bookmarkStart w:id="9" w:name="_Toc512461187"/>
      <w:bookmarkStart w:id="10" w:name="_Toc512699439"/>
      <w:r>
        <w:rPr>
          <w:rFonts w:hint="eastAsia"/>
        </w:rPr>
        <w:t>系统部署方案</w:t>
      </w:r>
      <w:bookmarkEnd w:id="9"/>
      <w:bookmarkEnd w:id="10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[描述单位业务系统与财政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电子</w:t>
      </w:r>
      <w:r>
        <w:rPr>
          <w:rFonts w:hint="eastAsia" w:ascii="仿宋_GB2312" w:eastAsia="仿宋_GB2312"/>
          <w:color w:val="FF0000"/>
          <w:sz w:val="28"/>
          <w:szCs w:val="28"/>
        </w:rPr>
        <w:t>票据管理系统部署结构，用票单位与财政的联网方式，系统部署图及相关说明，如采用网闸进行内外网交互，需要写明交互时间]</w:t>
      </w:r>
    </w:p>
    <w:p>
      <w:pPr>
        <w:pStyle w:val="21"/>
      </w:pPr>
      <w:bookmarkStart w:id="11" w:name="_Toc512699440"/>
      <w:bookmarkStart w:id="12" w:name="_Toc512461188"/>
      <w:r>
        <w:rPr>
          <w:rFonts w:hint="eastAsia"/>
        </w:rPr>
        <w:t>系统安全保障方案</w:t>
      </w:r>
      <w:bookmarkEnd w:id="11"/>
      <w:bookmarkEnd w:id="12"/>
    </w:p>
    <w:p>
      <w:pPr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[确保单位业务系统与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财政电子</w:t>
      </w:r>
      <w:r>
        <w:rPr>
          <w:rFonts w:hint="eastAsia" w:ascii="仿宋_GB2312" w:eastAsia="仿宋_GB2312"/>
          <w:color w:val="FF0000"/>
          <w:sz w:val="28"/>
          <w:szCs w:val="28"/>
        </w:rPr>
        <w:t>票据管理系统对接过程中的安全手段和采取的措施，比如防火墙，加密技术，防SQL注入等]</w:t>
      </w:r>
    </w:p>
    <w:p>
      <w:pPr>
        <w:pStyle w:val="4"/>
        <w:ind w:firstLine="0" w:firstLineChars="0"/>
        <w:rPr>
          <w:szCs w:val="21"/>
        </w:rPr>
      </w:pPr>
      <w:bookmarkStart w:id="16" w:name="_GoBack"/>
      <w:bookmarkEnd w:id="16"/>
    </w:p>
    <w:p>
      <w:pPr>
        <w:pStyle w:val="21"/>
      </w:pPr>
      <w:bookmarkStart w:id="13" w:name="_Toc512699441"/>
      <w:r>
        <w:rPr>
          <w:rFonts w:hint="eastAsia"/>
        </w:rPr>
        <w:t>附录</w:t>
      </w:r>
      <w:bookmarkEnd w:id="13"/>
    </w:p>
    <w:p>
      <w:pPr>
        <w:pStyle w:val="3"/>
      </w:pPr>
      <w:bookmarkStart w:id="14" w:name="_Toc512699442"/>
      <w:r>
        <w:rPr>
          <w:rFonts w:hint="eastAsia" w:ascii="仿宋_GB2312" w:eastAsia="仿宋_GB2312"/>
          <w:color w:val="000000"/>
          <w:sz w:val="28"/>
          <w:szCs w:val="28"/>
        </w:rPr>
        <w:t>示例</w:t>
      </w:r>
      <w:bookmarkEnd w:id="14"/>
    </w:p>
    <w:p>
      <w:pPr>
        <w:jc w:val="center"/>
      </w:pPr>
      <w:r>
        <w:object>
          <v:shape id="_x0000_i1025" o:spt="75" type="#_x0000_t75" style="height:474pt;width:41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此图片仅作为参考示例，可能与实际不符</w:t>
      </w:r>
    </w:p>
    <w:p>
      <w:pPr>
        <w:jc w:val="left"/>
      </w:pPr>
    </w:p>
    <w:p>
      <w:pPr>
        <w:numPr>
          <w:ilvl w:val="0"/>
          <w:numId w:val="2"/>
        </w:numPr>
        <w:ind w:left="426" w:hanging="4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业务系统通过调用 stock.billno.get接口获取票号。</w:t>
      </w:r>
    </w:p>
    <w:p>
      <w:pPr>
        <w:numPr>
          <w:ilvl w:val="0"/>
          <w:numId w:val="2"/>
        </w:numPr>
        <w:ind w:left="426" w:hanging="4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业务系统通过调用basic.template.get接口获取电子票据模板。</w:t>
      </w:r>
    </w:p>
    <w:p>
      <w:pPr>
        <w:numPr>
          <w:ilvl w:val="0"/>
          <w:numId w:val="2"/>
        </w:numPr>
        <w:ind w:left="426" w:hanging="4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开票信息、电子票号结合票据模板生成待签名原文，调用签名服务器生成签名值。调用invoice.e.signIssue.do接口，将待签名原文和签名值及其他相关信息发送到财政，接收返回结果。</w:t>
      </w:r>
    </w:p>
    <w:p>
      <w:pPr>
        <w:pStyle w:val="3"/>
        <w:rPr>
          <w:rFonts w:ascii="仿宋_GB2312" w:eastAsia="仿宋_GB2312"/>
          <w:color w:val="000000"/>
          <w:sz w:val="28"/>
          <w:szCs w:val="28"/>
        </w:rPr>
      </w:pPr>
      <w:bookmarkStart w:id="15" w:name="_Toc512699443"/>
      <w:r>
        <w:rPr>
          <w:rFonts w:hint="eastAsia" w:ascii="仿宋_GB2312" w:eastAsia="仿宋_GB2312"/>
          <w:color w:val="000000"/>
          <w:sz w:val="28"/>
          <w:szCs w:val="28"/>
        </w:rPr>
        <w:t>返回结果代码</w:t>
      </w:r>
      <w:bookmarkEnd w:id="15"/>
    </w:p>
    <w:tbl>
      <w:tblPr>
        <w:tblStyle w:val="18"/>
        <w:tblW w:w="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CCCCCC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编码</w:t>
            </w:r>
          </w:p>
        </w:tc>
        <w:tc>
          <w:tcPr>
            <w:tcW w:w="3685" w:type="dxa"/>
            <w:shd w:val="clear" w:color="auto" w:fill="CCCCCC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成功的返回代码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0001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业务方法执行失败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0002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通用请求参数校验失败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0003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业务请求参数校验失败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0004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接口调用次数限制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0006</w:t>
            </w:r>
          </w:p>
        </w:tc>
        <w:tc>
          <w:tcPr>
            <w:tcW w:w="3685" w:type="dxa"/>
          </w:tcPr>
          <w:p>
            <w:pPr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</w:rPr>
              <w:t>没有权限调用接口</w:t>
            </w:r>
          </w:p>
        </w:tc>
      </w:tr>
    </w:tbl>
    <w:p>
      <w:pPr>
        <w:pStyle w:val="27"/>
        <w:numPr>
          <w:ilvl w:val="0"/>
          <w:numId w:val="3"/>
        </w:numPr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返回代码为0000时，系统提示“开票成功”。</w:t>
      </w:r>
    </w:p>
    <w:p>
      <w:pPr>
        <w:pStyle w:val="27"/>
        <w:numPr>
          <w:ilvl w:val="0"/>
          <w:numId w:val="3"/>
        </w:numPr>
        <w:spacing w:before="240" w:after="240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返回代码为0001时，系统提示“开票失败，请检查业务方法”。</w:t>
      </w:r>
    </w:p>
    <w:p>
      <w:pPr>
        <w:pStyle w:val="27"/>
        <w:numPr>
          <w:ilvl w:val="0"/>
          <w:numId w:val="3"/>
        </w:numPr>
        <w:spacing w:before="240" w:after="240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返回代码为0002时，系统提示“开票失败，请检查通用请求参数”。</w:t>
      </w:r>
    </w:p>
    <w:p>
      <w:pPr>
        <w:pStyle w:val="27"/>
        <w:numPr>
          <w:ilvl w:val="0"/>
          <w:numId w:val="3"/>
        </w:numPr>
        <w:spacing w:before="240" w:after="240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返回代码为0003时，系统提示“开票失败，请检查业务请求参数”。</w:t>
      </w:r>
    </w:p>
    <w:p>
      <w:pPr>
        <w:pStyle w:val="27"/>
        <w:numPr>
          <w:ilvl w:val="0"/>
          <w:numId w:val="3"/>
        </w:numPr>
        <w:spacing w:before="240" w:after="240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返回代码为0004时，系统提示“开票失败，超过接口调用次数”。</w:t>
      </w:r>
    </w:p>
    <w:p>
      <w:pPr>
        <w:pStyle w:val="27"/>
        <w:numPr>
          <w:ilvl w:val="0"/>
          <w:numId w:val="3"/>
        </w:numPr>
        <w:spacing w:before="240" w:after="240"/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返回代码为0006时，系统提示“开票失败，没有权限调用接口”。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仿宋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Cambria Math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X</w:t>
    </w:r>
    <w:r>
      <w:rPr>
        <w:sz w:val="21"/>
        <w:szCs w:val="21"/>
      </w:rPr>
      <w:t>X</w:t>
    </w:r>
    <w:r>
      <w:rPr>
        <w:rFonts w:hint="eastAsia"/>
        <w:sz w:val="21"/>
        <w:szCs w:val="21"/>
      </w:rPr>
      <w:t>单位X</w:t>
    </w:r>
    <w:r>
      <w:rPr>
        <w:sz w:val="21"/>
        <w:szCs w:val="21"/>
      </w:rPr>
      <w:t>X</w:t>
    </w:r>
    <w:r>
      <w:rPr>
        <w:rFonts w:hint="eastAsia"/>
        <w:sz w:val="21"/>
        <w:szCs w:val="21"/>
      </w:rPr>
      <w:t>系统与</w:t>
    </w:r>
    <w:r>
      <w:rPr>
        <w:rFonts w:hint="eastAsia"/>
        <w:sz w:val="21"/>
        <w:szCs w:val="21"/>
        <w:lang w:eastAsia="zh-CN"/>
      </w:rPr>
      <w:t>财政电子票据</w:t>
    </w:r>
    <w:r>
      <w:rPr>
        <w:rFonts w:hint="eastAsia"/>
        <w:sz w:val="21"/>
        <w:szCs w:val="21"/>
      </w:rPr>
      <w:t>管理系统对接方案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F03D0"/>
    <w:multiLevelType w:val="multilevel"/>
    <w:tmpl w:val="09BF03D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42621"/>
    <w:multiLevelType w:val="multilevel"/>
    <w:tmpl w:val="0C042621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decimal"/>
      <w:lvlText w:val="（%2）"/>
      <w:lvlJc w:val="left"/>
      <w:pPr>
        <w:ind w:left="2240" w:hanging="12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723FB0"/>
    <w:multiLevelType w:val="multilevel"/>
    <w:tmpl w:val="4A723FB0"/>
    <w:lvl w:ilvl="0" w:tentative="0">
      <w:start w:val="1"/>
      <w:numFmt w:val="decimal"/>
      <w:pStyle w:val="21"/>
      <w:lvlText w:val="%1.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FC"/>
    <w:rsid w:val="00000D0D"/>
    <w:rsid w:val="00003572"/>
    <w:rsid w:val="0000662A"/>
    <w:rsid w:val="000101F0"/>
    <w:rsid w:val="000176F6"/>
    <w:rsid w:val="00017C83"/>
    <w:rsid w:val="0002374D"/>
    <w:rsid w:val="00025632"/>
    <w:rsid w:val="00025766"/>
    <w:rsid w:val="00025F01"/>
    <w:rsid w:val="00037BAF"/>
    <w:rsid w:val="00043E9A"/>
    <w:rsid w:val="000C33AF"/>
    <w:rsid w:val="000C3943"/>
    <w:rsid w:val="000C3C98"/>
    <w:rsid w:val="000D41E5"/>
    <w:rsid w:val="000E4020"/>
    <w:rsid w:val="000E7D36"/>
    <w:rsid w:val="001220C2"/>
    <w:rsid w:val="00127389"/>
    <w:rsid w:val="001423AE"/>
    <w:rsid w:val="0014283D"/>
    <w:rsid w:val="001450E6"/>
    <w:rsid w:val="00145301"/>
    <w:rsid w:val="001564E4"/>
    <w:rsid w:val="00157D99"/>
    <w:rsid w:val="00190387"/>
    <w:rsid w:val="001C0DDB"/>
    <w:rsid w:val="001D4C94"/>
    <w:rsid w:val="001E5FB8"/>
    <w:rsid w:val="001F2B0F"/>
    <w:rsid w:val="001F374E"/>
    <w:rsid w:val="001F6C52"/>
    <w:rsid w:val="00202398"/>
    <w:rsid w:val="002142FA"/>
    <w:rsid w:val="00235B0A"/>
    <w:rsid w:val="002371D8"/>
    <w:rsid w:val="00242CD4"/>
    <w:rsid w:val="00243E9E"/>
    <w:rsid w:val="00252CB4"/>
    <w:rsid w:val="00271764"/>
    <w:rsid w:val="00282A9F"/>
    <w:rsid w:val="00285934"/>
    <w:rsid w:val="002C22A2"/>
    <w:rsid w:val="002D4A28"/>
    <w:rsid w:val="002E18FC"/>
    <w:rsid w:val="00303C08"/>
    <w:rsid w:val="00306DF6"/>
    <w:rsid w:val="003220BD"/>
    <w:rsid w:val="00381C7D"/>
    <w:rsid w:val="00395FCF"/>
    <w:rsid w:val="003A4377"/>
    <w:rsid w:val="003E1D5D"/>
    <w:rsid w:val="003F0CF5"/>
    <w:rsid w:val="00413207"/>
    <w:rsid w:val="00434CE8"/>
    <w:rsid w:val="00440A7C"/>
    <w:rsid w:val="00451F06"/>
    <w:rsid w:val="004925FF"/>
    <w:rsid w:val="004958C9"/>
    <w:rsid w:val="004B2A0A"/>
    <w:rsid w:val="004C05C6"/>
    <w:rsid w:val="004F4C38"/>
    <w:rsid w:val="0053082F"/>
    <w:rsid w:val="00547CAE"/>
    <w:rsid w:val="00561AA9"/>
    <w:rsid w:val="00563008"/>
    <w:rsid w:val="00573F25"/>
    <w:rsid w:val="00580CBA"/>
    <w:rsid w:val="00580DD3"/>
    <w:rsid w:val="00581CB5"/>
    <w:rsid w:val="005A1003"/>
    <w:rsid w:val="005A5350"/>
    <w:rsid w:val="005B0F8D"/>
    <w:rsid w:val="005C46D2"/>
    <w:rsid w:val="005D7F6F"/>
    <w:rsid w:val="00612BD0"/>
    <w:rsid w:val="0061628E"/>
    <w:rsid w:val="00626E58"/>
    <w:rsid w:val="00635478"/>
    <w:rsid w:val="006474E8"/>
    <w:rsid w:val="0065675D"/>
    <w:rsid w:val="00663571"/>
    <w:rsid w:val="00667B00"/>
    <w:rsid w:val="006722C5"/>
    <w:rsid w:val="006A4415"/>
    <w:rsid w:val="006A6706"/>
    <w:rsid w:val="006B7BB3"/>
    <w:rsid w:val="006D61C4"/>
    <w:rsid w:val="006E021B"/>
    <w:rsid w:val="006E3DB6"/>
    <w:rsid w:val="00705CBE"/>
    <w:rsid w:val="00717970"/>
    <w:rsid w:val="00747198"/>
    <w:rsid w:val="00747294"/>
    <w:rsid w:val="00763262"/>
    <w:rsid w:val="00772264"/>
    <w:rsid w:val="00774F86"/>
    <w:rsid w:val="0077596D"/>
    <w:rsid w:val="0077763E"/>
    <w:rsid w:val="00782635"/>
    <w:rsid w:val="0078457E"/>
    <w:rsid w:val="0079040F"/>
    <w:rsid w:val="0079084E"/>
    <w:rsid w:val="00796423"/>
    <w:rsid w:val="007D03DE"/>
    <w:rsid w:val="007D0A08"/>
    <w:rsid w:val="008010E6"/>
    <w:rsid w:val="00846A28"/>
    <w:rsid w:val="0085511C"/>
    <w:rsid w:val="00870C75"/>
    <w:rsid w:val="00876A9A"/>
    <w:rsid w:val="0088717B"/>
    <w:rsid w:val="008958AF"/>
    <w:rsid w:val="008979E6"/>
    <w:rsid w:val="008B0FB7"/>
    <w:rsid w:val="008B717B"/>
    <w:rsid w:val="008C3E68"/>
    <w:rsid w:val="008D2CF9"/>
    <w:rsid w:val="009017C5"/>
    <w:rsid w:val="00912238"/>
    <w:rsid w:val="00934539"/>
    <w:rsid w:val="009529B9"/>
    <w:rsid w:val="009843B8"/>
    <w:rsid w:val="00991822"/>
    <w:rsid w:val="0099584A"/>
    <w:rsid w:val="009C587D"/>
    <w:rsid w:val="009E43EE"/>
    <w:rsid w:val="009F402C"/>
    <w:rsid w:val="00A005A3"/>
    <w:rsid w:val="00A0651A"/>
    <w:rsid w:val="00A154CB"/>
    <w:rsid w:val="00A37609"/>
    <w:rsid w:val="00A56633"/>
    <w:rsid w:val="00A6555D"/>
    <w:rsid w:val="00A67C55"/>
    <w:rsid w:val="00A76174"/>
    <w:rsid w:val="00A76E7D"/>
    <w:rsid w:val="00A859D5"/>
    <w:rsid w:val="00B10284"/>
    <w:rsid w:val="00B20C8A"/>
    <w:rsid w:val="00B4786F"/>
    <w:rsid w:val="00B54B53"/>
    <w:rsid w:val="00B5598B"/>
    <w:rsid w:val="00B575E1"/>
    <w:rsid w:val="00B7054B"/>
    <w:rsid w:val="00B74457"/>
    <w:rsid w:val="00B76987"/>
    <w:rsid w:val="00B83A36"/>
    <w:rsid w:val="00B84FC4"/>
    <w:rsid w:val="00BB3A3A"/>
    <w:rsid w:val="00BB3FB2"/>
    <w:rsid w:val="00BB5192"/>
    <w:rsid w:val="00BD25B9"/>
    <w:rsid w:val="00C27132"/>
    <w:rsid w:val="00C4167C"/>
    <w:rsid w:val="00C42DF3"/>
    <w:rsid w:val="00C66F2B"/>
    <w:rsid w:val="00C726F9"/>
    <w:rsid w:val="00C74110"/>
    <w:rsid w:val="00D02F9C"/>
    <w:rsid w:val="00D04769"/>
    <w:rsid w:val="00D1772C"/>
    <w:rsid w:val="00D22F53"/>
    <w:rsid w:val="00D41E5B"/>
    <w:rsid w:val="00D54489"/>
    <w:rsid w:val="00D55C6F"/>
    <w:rsid w:val="00D56BD2"/>
    <w:rsid w:val="00DD483C"/>
    <w:rsid w:val="00DF5AF8"/>
    <w:rsid w:val="00E045C1"/>
    <w:rsid w:val="00E063FF"/>
    <w:rsid w:val="00E15233"/>
    <w:rsid w:val="00E2774B"/>
    <w:rsid w:val="00E64651"/>
    <w:rsid w:val="00E91019"/>
    <w:rsid w:val="00EA198D"/>
    <w:rsid w:val="00EA53BE"/>
    <w:rsid w:val="00EE5E3F"/>
    <w:rsid w:val="00EF5019"/>
    <w:rsid w:val="00F26D0A"/>
    <w:rsid w:val="00F45FB3"/>
    <w:rsid w:val="00F50541"/>
    <w:rsid w:val="00F839BA"/>
    <w:rsid w:val="00F860E2"/>
    <w:rsid w:val="00F95EE2"/>
    <w:rsid w:val="00FA366B"/>
    <w:rsid w:val="00FC692B"/>
    <w:rsid w:val="00FD3E6E"/>
    <w:rsid w:val="00FD6F1E"/>
    <w:rsid w:val="00FE0E66"/>
    <w:rsid w:val="00FE1263"/>
    <w:rsid w:val="00FF56B7"/>
    <w:rsid w:val="036727FD"/>
    <w:rsid w:val="4FFE9413"/>
    <w:rsid w:val="645D4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4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Date"/>
    <w:basedOn w:val="1"/>
    <w:next w:val="1"/>
    <w:qFormat/>
    <w:uiPriority w:val="0"/>
    <w:pPr>
      <w:spacing w:line="360" w:lineRule="auto"/>
    </w:pPr>
    <w:rPr>
      <w:b/>
      <w:sz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20">
    <w:name w:val="Hyperlink"/>
    <w:qFormat/>
    <w:uiPriority w:val="99"/>
    <w:rPr>
      <w:color w:val="0000FF"/>
      <w:u w:val="single"/>
    </w:rPr>
  </w:style>
  <w:style w:type="paragraph" w:customStyle="1" w:styleId="21">
    <w:name w:val="标题1"/>
    <w:basedOn w:val="2"/>
    <w:next w:val="4"/>
    <w:qFormat/>
    <w:uiPriority w:val="0"/>
    <w:pPr>
      <w:numPr>
        <w:ilvl w:val="0"/>
        <w:numId w:val="1"/>
      </w:numPr>
    </w:pPr>
  </w:style>
  <w:style w:type="paragraph" w:customStyle="1" w:styleId="22">
    <w:name w:val="图示"/>
    <w:basedOn w:val="1"/>
    <w:qFormat/>
    <w:uiPriority w:val="0"/>
    <w:pPr>
      <w:jc w:val="center"/>
    </w:pPr>
    <w:rPr>
      <w:sz w:val="18"/>
    </w:rPr>
  </w:style>
  <w:style w:type="paragraph" w:customStyle="1" w:styleId="23">
    <w:name w:val="名词解释"/>
    <w:basedOn w:val="4"/>
    <w:qFormat/>
    <w:uiPriority w:val="0"/>
    <w:rPr>
      <w:rFonts w:ascii="幼圆" w:eastAsia="幼圆"/>
      <w:color w:val="FF0000"/>
      <w:szCs w:val="21"/>
    </w:rPr>
  </w:style>
  <w:style w:type="paragraph" w:customStyle="1" w:styleId="24">
    <w:name w:val="业务节点"/>
    <w:basedOn w:val="4"/>
    <w:qFormat/>
    <w:uiPriority w:val="0"/>
    <w:rPr>
      <w:rFonts w:ascii="幼圆" w:eastAsia="幼圆"/>
      <w:color w:val="993300"/>
    </w:rPr>
  </w:style>
  <w:style w:type="paragraph" w:customStyle="1" w:styleId="25">
    <w:name w:val="重点提示"/>
    <w:basedOn w:val="4"/>
    <w:qFormat/>
    <w:uiPriority w:val="0"/>
    <w:rPr>
      <w:rFonts w:ascii="幼圆" w:eastAsia="幼圆"/>
      <w:color w:val="333399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243</Words>
  <Characters>1390</Characters>
  <Lines>11</Lines>
  <Paragraphs>3</Paragraphs>
  <TotalTime>175</TotalTime>
  <ScaleCrop>false</ScaleCrop>
  <LinksUpToDate>false</LinksUpToDate>
  <CharactersWithSpaces>1630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2018-04-26T14:43:00Z</dcterms:created>
  <dc:creator>zg</dc:creator>
  <cp:lastModifiedBy>吴东 15880219669</cp:lastModifiedBy>
  <cp:lastPrinted>2412-01-01T00:00:00Z</cp:lastPrinted>
  <dcterms:modified xsi:type="dcterms:W3CDTF">2023-05-24T15:57:25Z</dcterms:modified>
  <dc:subject>word文档模板</dc:subject>
  <dc:title>单位与财政票据管理系统对接方案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