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2019年厦门市规划委员会</w:t>
      </w:r>
      <w:r>
        <w:rPr>
          <w:rFonts w:hint="eastAsia" w:ascii="方正小标宋简体" w:hAnsi="仿宋" w:eastAsia="方正小标宋简体"/>
          <w:sz w:val="44"/>
          <w:szCs w:val="44"/>
        </w:rPr>
        <w:t>部门预算说明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十、项目绩效目标表(限试点公开部门)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十一、部门整体支出绩效目标表(限试点公开部门)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ascii="黑体" w:eastAsia="黑体"/>
          <w:sz w:val="32"/>
          <w:szCs w:val="32"/>
        </w:rPr>
      </w:pPr>
    </w:p>
    <w:p>
      <w:pPr>
        <w:tabs>
          <w:tab w:val="left" w:pos="7513"/>
        </w:tabs>
        <w:adjustRightInd w:val="0"/>
        <w:snapToGrid w:val="0"/>
        <w:spacing w:line="560" w:lineRule="exact"/>
        <w:jc w:val="center"/>
        <w:rPr>
          <w:rFonts w:hint="eastAsia" w:ascii="黑体" w:eastAsia="黑体"/>
          <w:sz w:val="32"/>
          <w:szCs w:val="32"/>
        </w:rPr>
      </w:pPr>
    </w:p>
    <w:p>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sz w:val="32"/>
          <w:szCs w:val="32"/>
        </w:rPr>
        <w:t>厦门市规划委员会的主要职责是：</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（一）贯彻实施国家、省、市有一关城乡规划的法律法规、规章和政策，起草相关地方性法规、规章和政策，拟订有关技术标准和规范，并组织实施和监督检查。</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（二）负责城乡规划管理工作，组织开展城市发展战略规划的研究和编制，参与研究经济和社会发展规划、主体功能区规划和土地利用总体规划及年度建设用地计划；负责与城市联盟的衔接工作。</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负责组织编制、修订和调整城市总体规划、近期建设规划、风景名胜区规划、控制性详细规划，负责有关规划审查报批、已批准规划的报备工作；负责组织对城市总体规划的实施情况进行评估；负责市政基础设施和综合交通系统的规划编制与管理，会同有关部门组织各类专项规划的编制工作。</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（四）负责建设用地和建设工程的规划管理 ；负责依法核发《建设项目选址意见书《建设用地规划许可证》和《建设工程规划许可证》；负责审批建设工程设计方案；负责对建设工程进行规划条件核实。</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（五）负责组织对城乡规划编制、审批、实施、修改的监督检查，纠正违反城乡规划法律法规的行政行为；负责对违法建设影响规划的程度进行定性，配合综合执法部门对违法建设进行查处。</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（六）牵头负责全市“多规合一”统筹协调和业务协同平台的建设及维护等职责。</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厦门市规划委员会</w:t>
      </w:r>
      <w:r>
        <w:rPr>
          <w:rFonts w:hint="eastAsia" w:ascii="仿宋_GB2312" w:hAnsi="仿宋" w:eastAsia="仿宋_GB2312"/>
          <w:sz w:val="32"/>
          <w:szCs w:val="32"/>
        </w:rPr>
        <w:t>包括</w:t>
      </w:r>
      <w:r>
        <w:rPr>
          <w:rFonts w:hint="eastAsia" w:ascii="仿宋_GB2312" w:hAnsi="仿宋" w:eastAsia="仿宋_GB2312" w:cs="仿宋_GB2312"/>
          <w:sz w:val="32"/>
          <w:szCs w:val="32"/>
        </w:rPr>
        <w:t>9</w:t>
      </w:r>
      <w:r>
        <w:rPr>
          <w:rFonts w:hint="eastAsia" w:ascii="仿宋_GB2312" w:hAnsi="仿宋" w:eastAsia="仿宋_GB2312"/>
          <w:sz w:val="32"/>
          <w:szCs w:val="32"/>
        </w:rPr>
        <w:t>个机关行政处室及</w:t>
      </w:r>
      <w:r>
        <w:rPr>
          <w:rFonts w:hint="eastAsia" w:ascii="仿宋_GB2312" w:hAnsi="仿宋" w:eastAsia="仿宋_GB2312" w:cs="仿宋_GB2312"/>
          <w:sz w:val="32"/>
          <w:szCs w:val="32"/>
        </w:rPr>
        <w:t>6</w:t>
      </w:r>
      <w:r>
        <w:rPr>
          <w:rFonts w:hint="eastAsia" w:ascii="仿宋_GB2312" w:hAnsi="仿宋" w:eastAsia="仿宋_GB2312"/>
          <w:sz w:val="32"/>
          <w:szCs w:val="32"/>
        </w:rPr>
        <w:t>个下属单位，其中：列入</w:t>
      </w:r>
      <w:r>
        <w:rPr>
          <w:rFonts w:hint="eastAsia" w:ascii="仿宋_GB2312" w:hAnsi="仿宋" w:eastAsia="仿宋_GB2312" w:cs="仿宋_GB2312"/>
          <w:sz w:val="32"/>
          <w:szCs w:val="32"/>
        </w:rPr>
        <w:t>2019</w:t>
      </w:r>
      <w:r>
        <w:rPr>
          <w:rFonts w:hint="eastAsia" w:ascii="仿宋_GB2312" w:hAnsi="仿宋" w:eastAsia="仿宋_GB2312"/>
          <w:sz w:val="32"/>
          <w:szCs w:val="32"/>
        </w:rPr>
        <w:t>年部门预算编制范围的单位详细情况见下表:</w:t>
      </w:r>
    </w:p>
    <w:tbl>
      <w:tblPr>
        <w:tblStyle w:val="7"/>
        <w:tblW w:w="8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9"/>
        <w:gridCol w:w="1336"/>
        <w:gridCol w:w="1977"/>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9"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1336"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经费性质</w:t>
            </w:r>
          </w:p>
        </w:tc>
        <w:tc>
          <w:tcPr>
            <w:tcW w:w="1977"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人员编制数</w:t>
            </w:r>
          </w:p>
        </w:tc>
        <w:tc>
          <w:tcPr>
            <w:tcW w:w="2333" w:type="dxa"/>
          </w:tcPr>
          <w:p>
            <w:pPr>
              <w:tabs>
                <w:tab w:val="left" w:pos="7513"/>
              </w:tabs>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9" w:type="dxa"/>
          </w:tcPr>
          <w:p>
            <w:pPr>
              <w:tabs>
                <w:tab w:val="left" w:pos="7513"/>
              </w:tabs>
              <w:adjustRightInd w:val="0"/>
              <w:snapToGrid w:val="0"/>
              <w:spacing w:line="560" w:lineRule="exact"/>
              <w:ind w:right="-185" w:rightChars="-88"/>
              <w:rPr>
                <w:rFonts w:ascii="宋体" w:hAnsi="宋体"/>
                <w:sz w:val="28"/>
                <w:szCs w:val="28"/>
              </w:rPr>
            </w:pPr>
            <w:r>
              <w:rPr>
                <w:rFonts w:hint="eastAsia" w:ascii="仿宋_GB2312" w:hAnsi="宋体" w:eastAsia="仿宋_GB2312" w:cs="宋体"/>
                <w:b/>
                <w:bCs/>
                <w:kern w:val="0"/>
                <w:sz w:val="24"/>
              </w:rPr>
              <w:t>厦门市规划委员会</w:t>
            </w:r>
          </w:p>
        </w:tc>
        <w:tc>
          <w:tcPr>
            <w:tcW w:w="1336" w:type="dxa"/>
          </w:tcPr>
          <w:p>
            <w:pPr>
              <w:tabs>
                <w:tab w:val="left" w:pos="7513"/>
              </w:tabs>
              <w:adjustRightInd w:val="0"/>
              <w:snapToGrid w:val="0"/>
              <w:spacing w:line="560" w:lineRule="exact"/>
              <w:rPr>
                <w:rFonts w:ascii="宋体" w:hAnsi="宋体"/>
                <w:sz w:val="24"/>
                <w:szCs w:val="24"/>
              </w:rPr>
            </w:pPr>
            <w:r>
              <w:rPr>
                <w:rFonts w:hint="eastAsia" w:ascii="仿宋_GB2312" w:hAnsi="宋体" w:eastAsia="仿宋_GB2312" w:cs="宋体"/>
                <w:b/>
                <w:bCs/>
                <w:kern w:val="0"/>
                <w:sz w:val="24"/>
              </w:rPr>
              <w:t>行政机关</w:t>
            </w:r>
          </w:p>
        </w:tc>
        <w:tc>
          <w:tcPr>
            <w:tcW w:w="1977" w:type="dxa"/>
          </w:tcPr>
          <w:p>
            <w:pPr>
              <w:tabs>
                <w:tab w:val="left" w:pos="7513"/>
              </w:tabs>
              <w:adjustRightInd w:val="0"/>
              <w:snapToGrid w:val="0"/>
              <w:spacing w:line="560" w:lineRule="exact"/>
              <w:rPr>
                <w:rFonts w:ascii="宋体" w:hAnsi="宋体"/>
                <w:sz w:val="28"/>
                <w:szCs w:val="28"/>
              </w:rPr>
            </w:pPr>
            <w:r>
              <w:rPr>
                <w:rFonts w:hint="eastAsia" w:ascii="宋体" w:hAnsi="宋体"/>
                <w:sz w:val="28"/>
                <w:szCs w:val="28"/>
              </w:rPr>
              <w:t xml:space="preserve">  </w:t>
            </w:r>
            <w:r>
              <w:rPr>
                <w:rFonts w:hint="eastAsia" w:ascii="仿宋_GB2312" w:hAnsi="宋体" w:eastAsia="仿宋_GB2312" w:cs="宋体"/>
                <w:b/>
                <w:bCs/>
                <w:kern w:val="0"/>
                <w:sz w:val="24"/>
              </w:rPr>
              <w:t xml:space="preserve">     34</w:t>
            </w:r>
          </w:p>
        </w:tc>
        <w:tc>
          <w:tcPr>
            <w:tcW w:w="2333" w:type="dxa"/>
          </w:tcPr>
          <w:p>
            <w:pPr>
              <w:tabs>
                <w:tab w:val="left" w:pos="7513"/>
              </w:tabs>
              <w:adjustRightInd w:val="0"/>
              <w:snapToGrid w:val="0"/>
              <w:spacing w:line="560" w:lineRule="exact"/>
              <w:rPr>
                <w:rFonts w:ascii="宋体" w:hAnsi="宋体"/>
                <w:sz w:val="28"/>
                <w:szCs w:val="28"/>
              </w:rPr>
            </w:pPr>
            <w:r>
              <w:rPr>
                <w:rFonts w:hint="eastAsia" w:ascii="宋体" w:hAnsi="宋体"/>
                <w:sz w:val="28"/>
                <w:szCs w:val="28"/>
              </w:rPr>
              <w:t xml:space="preserve">   </w:t>
            </w:r>
            <w:r>
              <w:rPr>
                <w:rFonts w:hint="eastAsia" w:ascii="仿宋_GB2312" w:hAnsi="宋体" w:eastAsia="仿宋_GB2312" w:cs="宋体"/>
                <w:b/>
                <w:bCs/>
                <w:kern w:val="0"/>
                <w:sz w:val="24"/>
              </w:rPr>
              <w:t>35（含5个工勤）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9"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厦门规划委员会集美规划分局</w:t>
            </w:r>
          </w:p>
        </w:tc>
        <w:tc>
          <w:tcPr>
            <w:tcW w:w="1336"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行政机关</w:t>
            </w:r>
          </w:p>
        </w:tc>
        <w:tc>
          <w:tcPr>
            <w:tcW w:w="1977" w:type="dxa"/>
          </w:tcPr>
          <w:p>
            <w:pPr>
              <w:tabs>
                <w:tab w:val="left" w:pos="7513"/>
              </w:tabs>
              <w:adjustRightInd w:val="0"/>
              <w:snapToGrid w:val="0"/>
              <w:spacing w:line="560" w:lineRule="exact"/>
              <w:ind w:firstLine="964" w:firstLineChars="400"/>
              <w:rPr>
                <w:rFonts w:ascii="仿宋_GB2312" w:hAnsi="宋体" w:eastAsia="仿宋_GB2312" w:cs="宋体"/>
                <w:b/>
                <w:bCs/>
                <w:kern w:val="0"/>
                <w:sz w:val="24"/>
              </w:rPr>
            </w:pPr>
            <w:r>
              <w:rPr>
                <w:rFonts w:hint="eastAsia" w:ascii="仿宋_GB2312" w:hAnsi="宋体" w:eastAsia="仿宋_GB2312" w:cs="宋体"/>
                <w:b/>
                <w:bCs/>
                <w:kern w:val="0"/>
                <w:sz w:val="24"/>
              </w:rPr>
              <w:t>8</w:t>
            </w:r>
          </w:p>
        </w:tc>
        <w:tc>
          <w:tcPr>
            <w:tcW w:w="2333" w:type="dxa"/>
          </w:tcPr>
          <w:p>
            <w:pPr>
              <w:tabs>
                <w:tab w:val="left" w:pos="7513"/>
              </w:tabs>
              <w:adjustRightInd w:val="0"/>
              <w:snapToGrid w:val="0"/>
              <w:spacing w:line="560" w:lineRule="exact"/>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9"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厦门规划委员会同安规划分局</w:t>
            </w:r>
          </w:p>
        </w:tc>
        <w:tc>
          <w:tcPr>
            <w:tcW w:w="1336" w:type="dxa"/>
          </w:tcPr>
          <w:p>
            <w:pPr>
              <w:tabs>
                <w:tab w:val="left" w:pos="7513"/>
              </w:tabs>
              <w:adjustRightInd w:val="0"/>
              <w:snapToGrid w:val="0"/>
              <w:spacing w:line="560" w:lineRule="exact"/>
              <w:rPr>
                <w:rFonts w:ascii="仿宋_GB2312" w:hAnsi="宋体" w:eastAsia="仿宋_GB2312" w:cs="宋体"/>
                <w:b/>
                <w:bCs/>
                <w:kern w:val="0"/>
                <w:sz w:val="24"/>
              </w:rPr>
            </w:pPr>
            <w:r>
              <w:rPr>
                <w:rFonts w:hint="eastAsia" w:ascii="仿宋_GB2312" w:hAnsi="宋体" w:eastAsia="仿宋_GB2312" w:cs="宋体"/>
                <w:b/>
                <w:bCs/>
                <w:kern w:val="0"/>
                <w:sz w:val="24"/>
              </w:rPr>
              <w:t>行政机关</w:t>
            </w:r>
          </w:p>
        </w:tc>
        <w:tc>
          <w:tcPr>
            <w:tcW w:w="1977" w:type="dxa"/>
          </w:tcPr>
          <w:p>
            <w:pPr>
              <w:tabs>
                <w:tab w:val="left" w:pos="7513"/>
              </w:tabs>
              <w:adjustRightInd w:val="0"/>
              <w:snapToGrid w:val="0"/>
              <w:spacing w:line="560" w:lineRule="exact"/>
              <w:ind w:firstLine="964" w:firstLineChars="400"/>
              <w:rPr>
                <w:rFonts w:ascii="仿宋_GB2312" w:hAnsi="宋体" w:eastAsia="仿宋_GB2312" w:cs="宋体"/>
                <w:b/>
                <w:bCs/>
                <w:kern w:val="0"/>
                <w:sz w:val="24"/>
              </w:rPr>
            </w:pPr>
            <w:r>
              <w:rPr>
                <w:rFonts w:hint="eastAsia" w:ascii="仿宋_GB2312" w:hAnsi="宋体" w:eastAsia="仿宋_GB2312" w:cs="宋体"/>
                <w:b/>
                <w:bCs/>
                <w:kern w:val="0"/>
                <w:sz w:val="24"/>
              </w:rPr>
              <w:t>8</w:t>
            </w:r>
          </w:p>
        </w:tc>
        <w:tc>
          <w:tcPr>
            <w:tcW w:w="2333" w:type="dxa"/>
          </w:tcPr>
          <w:p>
            <w:pPr>
              <w:tabs>
                <w:tab w:val="left" w:pos="7513"/>
              </w:tabs>
              <w:adjustRightInd w:val="0"/>
              <w:snapToGrid w:val="0"/>
              <w:spacing w:line="560" w:lineRule="exact"/>
              <w:rPr>
                <w:rFonts w:ascii="仿宋_GB2312" w:hAnsi="宋体" w:eastAsia="仿宋_GB2312" w:cs="宋体"/>
                <w:b/>
                <w:bCs/>
                <w:kern w:val="0"/>
                <w:sz w:val="24"/>
              </w:rPr>
            </w:pPr>
            <w:r>
              <w:rPr>
                <w:rFonts w:hint="eastAsia" w:ascii="仿宋_GB2312" w:hAnsi="宋体" w:eastAsia="仿宋_GB2312" w:cs="宋体"/>
                <w:b/>
                <w:bCs/>
                <w:kern w:val="0"/>
                <w:sz w:val="24"/>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9"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厦门规划委员会翔安规划分局</w:t>
            </w:r>
          </w:p>
        </w:tc>
        <w:tc>
          <w:tcPr>
            <w:tcW w:w="1336"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行政机关</w:t>
            </w:r>
          </w:p>
        </w:tc>
        <w:tc>
          <w:tcPr>
            <w:tcW w:w="1977" w:type="dxa"/>
          </w:tcPr>
          <w:p>
            <w:pPr>
              <w:tabs>
                <w:tab w:val="left" w:pos="7513"/>
              </w:tabs>
              <w:adjustRightInd w:val="0"/>
              <w:snapToGrid w:val="0"/>
              <w:spacing w:line="560" w:lineRule="exact"/>
              <w:ind w:firstLine="964" w:firstLineChars="400"/>
              <w:rPr>
                <w:rFonts w:ascii="仿宋_GB2312" w:hAnsi="宋体" w:eastAsia="仿宋_GB2312" w:cs="宋体"/>
                <w:b/>
                <w:bCs/>
                <w:kern w:val="0"/>
                <w:sz w:val="24"/>
              </w:rPr>
            </w:pPr>
            <w:r>
              <w:rPr>
                <w:rFonts w:hint="eastAsia" w:ascii="仿宋_GB2312" w:hAnsi="宋体" w:eastAsia="仿宋_GB2312" w:cs="宋体"/>
                <w:b/>
                <w:bCs/>
                <w:kern w:val="0"/>
                <w:sz w:val="24"/>
              </w:rPr>
              <w:t>8</w:t>
            </w:r>
          </w:p>
        </w:tc>
        <w:tc>
          <w:tcPr>
            <w:tcW w:w="2333" w:type="dxa"/>
          </w:tcPr>
          <w:p>
            <w:pPr>
              <w:tabs>
                <w:tab w:val="left" w:pos="7513"/>
              </w:tabs>
              <w:adjustRightInd w:val="0"/>
              <w:snapToGrid w:val="0"/>
              <w:spacing w:line="560" w:lineRule="exact"/>
              <w:rPr>
                <w:rFonts w:ascii="仿宋_GB2312" w:hAnsi="宋体" w:eastAsia="仿宋_GB2312" w:cs="宋体"/>
                <w:b/>
                <w:bCs/>
                <w:kern w:val="0"/>
                <w:sz w:val="24"/>
              </w:rPr>
            </w:pPr>
            <w:r>
              <w:rPr>
                <w:rFonts w:hint="eastAsia" w:ascii="仿宋_GB2312" w:hAnsi="宋体" w:eastAsia="仿宋_GB2312" w:cs="宋体"/>
                <w:b/>
                <w:bCs/>
                <w:kern w:val="0"/>
                <w:sz w:val="24"/>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9"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厦门规划委员会海沧规划分局</w:t>
            </w:r>
          </w:p>
        </w:tc>
        <w:tc>
          <w:tcPr>
            <w:tcW w:w="1336"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行政机关</w:t>
            </w:r>
          </w:p>
        </w:tc>
        <w:tc>
          <w:tcPr>
            <w:tcW w:w="1977" w:type="dxa"/>
          </w:tcPr>
          <w:p>
            <w:pPr>
              <w:tabs>
                <w:tab w:val="left" w:pos="7513"/>
              </w:tabs>
              <w:adjustRightInd w:val="0"/>
              <w:snapToGrid w:val="0"/>
              <w:spacing w:line="560" w:lineRule="exact"/>
              <w:ind w:firstLine="964" w:firstLineChars="400"/>
              <w:rPr>
                <w:rFonts w:ascii="仿宋_GB2312" w:hAnsi="宋体" w:eastAsia="仿宋_GB2312" w:cs="宋体"/>
                <w:b/>
                <w:bCs/>
                <w:kern w:val="0"/>
                <w:sz w:val="24"/>
              </w:rPr>
            </w:pPr>
            <w:r>
              <w:rPr>
                <w:rFonts w:hint="eastAsia" w:ascii="仿宋_GB2312" w:hAnsi="宋体" w:eastAsia="仿宋_GB2312" w:cs="宋体"/>
                <w:b/>
                <w:bCs/>
                <w:kern w:val="0"/>
                <w:sz w:val="24"/>
              </w:rPr>
              <w:t>8</w:t>
            </w:r>
          </w:p>
        </w:tc>
        <w:tc>
          <w:tcPr>
            <w:tcW w:w="2333" w:type="dxa"/>
          </w:tcPr>
          <w:p>
            <w:pPr>
              <w:tabs>
                <w:tab w:val="left" w:pos="7513"/>
              </w:tabs>
              <w:adjustRightInd w:val="0"/>
              <w:snapToGrid w:val="0"/>
              <w:spacing w:line="560" w:lineRule="exact"/>
              <w:rPr>
                <w:rFonts w:ascii="仿宋_GB2312" w:hAnsi="宋体" w:eastAsia="仿宋_GB2312" w:cs="宋体"/>
                <w:b/>
                <w:bCs/>
                <w:kern w:val="0"/>
                <w:sz w:val="24"/>
              </w:rPr>
            </w:pPr>
            <w:r>
              <w:rPr>
                <w:rFonts w:hint="eastAsia" w:ascii="仿宋_GB2312" w:hAnsi="宋体" w:eastAsia="仿宋_GB2312" w:cs="宋体"/>
                <w:b/>
                <w:bCs/>
                <w:kern w:val="0"/>
                <w:sz w:val="24"/>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9" w:type="dxa"/>
          </w:tcPr>
          <w:p>
            <w:pPr>
              <w:tabs>
                <w:tab w:val="left" w:pos="7513"/>
              </w:tabs>
              <w:adjustRightInd w:val="0"/>
              <w:snapToGrid w:val="0"/>
              <w:spacing w:line="560" w:lineRule="exact"/>
              <w:rPr>
                <w:rFonts w:ascii="仿宋_GB2312" w:hAnsi="宋体" w:eastAsia="仿宋_GB2312" w:cs="宋体"/>
                <w:b/>
                <w:bCs/>
                <w:kern w:val="0"/>
                <w:sz w:val="24"/>
              </w:rPr>
            </w:pPr>
            <w:r>
              <w:rPr>
                <w:rFonts w:hint="eastAsia" w:ascii="仿宋_GB2312" w:hAnsi="宋体" w:eastAsia="仿宋_GB2312" w:cs="宋体"/>
                <w:b/>
                <w:bCs/>
                <w:kern w:val="0"/>
                <w:sz w:val="24"/>
              </w:rPr>
              <w:t>厦门规划委员会直属规划分局</w:t>
            </w:r>
          </w:p>
        </w:tc>
        <w:tc>
          <w:tcPr>
            <w:tcW w:w="1336" w:type="dxa"/>
          </w:tcPr>
          <w:p>
            <w:pPr>
              <w:tabs>
                <w:tab w:val="left" w:pos="7513"/>
              </w:tabs>
              <w:adjustRightInd w:val="0"/>
              <w:snapToGrid w:val="0"/>
              <w:spacing w:line="560" w:lineRule="exact"/>
              <w:rPr>
                <w:rFonts w:ascii="仿宋_GB2312" w:hAnsi="宋体" w:eastAsia="仿宋_GB2312" w:cs="宋体"/>
                <w:b/>
                <w:bCs/>
                <w:kern w:val="0"/>
                <w:sz w:val="24"/>
              </w:rPr>
            </w:pPr>
            <w:r>
              <w:rPr>
                <w:rFonts w:hint="eastAsia" w:ascii="仿宋_GB2312" w:hAnsi="宋体" w:eastAsia="仿宋_GB2312" w:cs="宋体"/>
                <w:b/>
                <w:bCs/>
                <w:kern w:val="0"/>
                <w:sz w:val="24"/>
              </w:rPr>
              <w:t>行政机关</w:t>
            </w:r>
          </w:p>
        </w:tc>
        <w:tc>
          <w:tcPr>
            <w:tcW w:w="1977" w:type="dxa"/>
          </w:tcPr>
          <w:p>
            <w:pPr>
              <w:tabs>
                <w:tab w:val="left" w:pos="7513"/>
              </w:tabs>
              <w:adjustRightInd w:val="0"/>
              <w:snapToGrid w:val="0"/>
              <w:spacing w:line="560" w:lineRule="exact"/>
              <w:ind w:firstLine="964" w:firstLineChars="400"/>
              <w:rPr>
                <w:rFonts w:ascii="仿宋_GB2312" w:hAnsi="宋体" w:eastAsia="仿宋_GB2312" w:cs="宋体"/>
                <w:b/>
                <w:bCs/>
                <w:kern w:val="0"/>
                <w:sz w:val="24"/>
              </w:rPr>
            </w:pPr>
            <w:r>
              <w:rPr>
                <w:rFonts w:hint="eastAsia" w:ascii="仿宋_GB2312" w:hAnsi="宋体" w:eastAsia="仿宋_GB2312" w:cs="宋体"/>
                <w:b/>
                <w:bCs/>
                <w:kern w:val="0"/>
                <w:sz w:val="24"/>
              </w:rPr>
              <w:t>11</w:t>
            </w:r>
          </w:p>
        </w:tc>
        <w:tc>
          <w:tcPr>
            <w:tcW w:w="2333" w:type="dxa"/>
          </w:tcPr>
          <w:p>
            <w:pPr>
              <w:tabs>
                <w:tab w:val="left" w:pos="7513"/>
              </w:tabs>
              <w:adjustRightInd w:val="0"/>
              <w:snapToGrid w:val="0"/>
              <w:spacing w:line="560" w:lineRule="exact"/>
              <w:rPr>
                <w:rFonts w:ascii="仿宋_GB2312" w:hAnsi="宋体" w:eastAsia="仿宋_GB2312" w:cs="宋体"/>
                <w:b/>
                <w:bCs/>
                <w:kern w:val="0"/>
                <w:sz w:val="24"/>
              </w:rPr>
            </w:pPr>
            <w:r>
              <w:rPr>
                <w:rFonts w:hint="eastAsia" w:ascii="仿宋_GB2312" w:hAnsi="宋体" w:eastAsia="仿宋_GB2312" w:cs="宋体"/>
                <w:b/>
                <w:bCs/>
                <w:kern w:val="0"/>
                <w:sz w:val="24"/>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49"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厦门市规划展览馆</w:t>
            </w:r>
          </w:p>
        </w:tc>
        <w:tc>
          <w:tcPr>
            <w:tcW w:w="1336" w:type="dxa"/>
          </w:tcPr>
          <w:p>
            <w:pPr>
              <w:tabs>
                <w:tab w:val="left" w:pos="7513"/>
              </w:tabs>
              <w:adjustRightInd w:val="0"/>
              <w:snapToGrid w:val="0"/>
              <w:spacing w:line="560" w:lineRule="exact"/>
              <w:rPr>
                <w:rFonts w:ascii="宋体" w:hAnsi="宋体"/>
                <w:sz w:val="28"/>
                <w:szCs w:val="28"/>
              </w:rPr>
            </w:pPr>
            <w:r>
              <w:rPr>
                <w:rFonts w:hint="eastAsia" w:ascii="仿宋_GB2312" w:hAnsi="宋体" w:eastAsia="仿宋_GB2312" w:cs="宋体"/>
                <w:b/>
                <w:bCs/>
                <w:kern w:val="0"/>
                <w:sz w:val="24"/>
              </w:rPr>
              <w:t>事业单位</w:t>
            </w:r>
          </w:p>
        </w:tc>
        <w:tc>
          <w:tcPr>
            <w:tcW w:w="1977" w:type="dxa"/>
          </w:tcPr>
          <w:p>
            <w:pPr>
              <w:tabs>
                <w:tab w:val="left" w:pos="7513"/>
              </w:tabs>
              <w:adjustRightInd w:val="0"/>
              <w:snapToGrid w:val="0"/>
              <w:spacing w:line="560" w:lineRule="exact"/>
              <w:ind w:firstLine="964" w:firstLineChars="400"/>
              <w:rPr>
                <w:rFonts w:ascii="仿宋_GB2312" w:hAnsi="宋体" w:eastAsia="仿宋_GB2312" w:cs="宋体"/>
                <w:b/>
                <w:bCs/>
                <w:kern w:val="0"/>
                <w:sz w:val="24"/>
              </w:rPr>
            </w:pPr>
            <w:r>
              <w:rPr>
                <w:rFonts w:hint="eastAsia" w:ascii="仿宋_GB2312" w:hAnsi="宋体" w:eastAsia="仿宋_GB2312" w:cs="宋体"/>
                <w:b/>
                <w:bCs/>
                <w:kern w:val="0"/>
                <w:sz w:val="24"/>
              </w:rPr>
              <w:t>9</w:t>
            </w:r>
          </w:p>
        </w:tc>
        <w:tc>
          <w:tcPr>
            <w:tcW w:w="2333" w:type="dxa"/>
          </w:tcPr>
          <w:p>
            <w:pPr>
              <w:tabs>
                <w:tab w:val="left" w:pos="7513"/>
              </w:tabs>
              <w:adjustRightInd w:val="0"/>
              <w:snapToGrid w:val="0"/>
              <w:spacing w:line="560" w:lineRule="exact"/>
              <w:rPr>
                <w:rFonts w:ascii="仿宋_GB2312" w:hAnsi="宋体" w:eastAsia="仿宋_GB2312" w:cs="宋体"/>
                <w:b/>
                <w:bCs/>
                <w:kern w:val="0"/>
                <w:sz w:val="24"/>
              </w:rPr>
            </w:pPr>
            <w:r>
              <w:rPr>
                <w:rFonts w:hint="eastAsia" w:ascii="仿宋_GB2312" w:hAnsi="宋体" w:eastAsia="仿宋_GB2312" w:cs="宋体"/>
                <w:b/>
                <w:bCs/>
                <w:kern w:val="0"/>
                <w:sz w:val="24"/>
              </w:rPr>
              <w:t xml:space="preserve">    8</w:t>
            </w:r>
          </w:p>
        </w:tc>
      </w:tr>
    </w:tbl>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pPr>
        <w:spacing w:line="596" w:lineRule="exact"/>
        <w:ind w:firstLine="566" w:firstLineChars="177"/>
        <w:contextualSpacing/>
        <w:rPr>
          <w:rFonts w:ascii="仿宋_GB2312" w:hAnsi="仿宋" w:eastAsia="仿宋_GB2312"/>
          <w:sz w:val="32"/>
          <w:szCs w:val="32"/>
        </w:rPr>
      </w:pPr>
      <w:r>
        <w:rPr>
          <w:rFonts w:hint="eastAsia" w:ascii="仿宋_GB2312" w:hAnsi="仿宋" w:eastAsia="仿宋_GB2312"/>
          <w:sz w:val="32"/>
          <w:szCs w:val="32"/>
        </w:rPr>
        <w:t>2019年我委工作总的指导思想是：以习近平新时代中国特色社会主义思想为指导，全面贯彻党的十九大和十九届二中、三中全会精神，认真落实中央经济工作会议精神和省“两会”精神，紧紧围绕市委市政府决策部署和中心工作，紧贴社会发展中的重难点、城市建设的痛点和市民关心的热点，坚持统筹规划、强化规划统筹，持续深化规划转型改革，以规划引领经济、社会、文化、生态文明等各方面工作，促进城市规划建设有序发展。围绕上述任务，重点抓好以下工作：</w:t>
      </w:r>
    </w:p>
    <w:p>
      <w:pPr>
        <w:tabs>
          <w:tab w:val="left" w:pos="7513"/>
        </w:tabs>
        <w:adjustRightInd w:val="0"/>
        <w:snapToGrid w:val="0"/>
        <w:spacing w:line="560" w:lineRule="exact"/>
        <w:rPr>
          <w:rFonts w:ascii="仿宋_GB2312" w:hAnsi="仿宋" w:eastAsia="仿宋_GB2312"/>
          <w:sz w:val="32"/>
          <w:szCs w:val="32"/>
        </w:rPr>
      </w:pPr>
      <w:r>
        <w:rPr>
          <w:rFonts w:hint="eastAsia" w:ascii="仿宋_GB2312" w:hAnsi="仿宋" w:eastAsia="仿宋_GB2312"/>
          <w:sz w:val="32"/>
          <w:szCs w:val="32"/>
        </w:rPr>
        <w:t xml:space="preserve">    （一）进一步建立健全空间规划体系。</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（二）进一步完善“多规合一”的平台建设。</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（三）进一步推进审批制度的深化改革。</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（四）进一步强化规划统筹建设的能力。</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（五）进一步推动城市提升各项工作落实。</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（六）进一步提升规划管理精细化水平。</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（七）进一步加强党的政治建设。</w:t>
      </w:r>
    </w:p>
    <w:p>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2019年部门预算说明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一、2019年部门预算收支总体情况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厦门市规划委员会</w:t>
      </w:r>
      <w:r>
        <w:rPr>
          <w:rFonts w:hint="eastAsia" w:ascii="仿宋_GB2312" w:hAnsi="仿宋" w:eastAsia="仿宋_GB2312"/>
          <w:sz w:val="32"/>
          <w:szCs w:val="32"/>
        </w:rPr>
        <w:t>2019年收入预算为</w:t>
      </w:r>
      <w:r>
        <w:rPr>
          <w:rFonts w:hint="eastAsia" w:ascii="仿宋_GB2312" w:hAnsi="仿宋" w:eastAsia="仿宋_GB2312" w:cs="仿宋_GB2312"/>
          <w:sz w:val="32"/>
          <w:szCs w:val="32"/>
        </w:rPr>
        <w:t>16,214.10</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比2018年预算数增加2,584.04万元，增长18.95％</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财政拨款收入16,214.10万元，其中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16,214.10</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7.历年结余0万元；</w:t>
      </w:r>
      <w:bookmarkStart w:id="0" w:name="_GoBack"/>
      <w:bookmarkEnd w:id="0"/>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8.其他收入0万元；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厦门市规划委员会</w:t>
      </w:r>
      <w:r>
        <w:rPr>
          <w:rFonts w:hint="eastAsia" w:ascii="仿宋_GB2312" w:hAnsi="仿宋" w:eastAsia="仿宋_GB2312"/>
          <w:sz w:val="32"/>
          <w:szCs w:val="32"/>
        </w:rPr>
        <w:t>2019年支出预算为</w:t>
      </w:r>
      <w:r>
        <w:rPr>
          <w:rFonts w:hint="eastAsia" w:ascii="仿宋_GB2312" w:hAnsi="仿宋" w:eastAsia="仿宋_GB2312" w:cs="仿宋_GB2312"/>
          <w:sz w:val="32"/>
          <w:szCs w:val="32"/>
        </w:rPr>
        <w:t>16,214.10</w:t>
      </w:r>
      <w:r>
        <w:rPr>
          <w:rFonts w:hint="eastAsia" w:ascii="仿宋_GB2312" w:hAnsi="仿宋" w:eastAsia="仿宋_GB2312"/>
          <w:sz w:val="32"/>
          <w:szCs w:val="32"/>
        </w:rPr>
        <w:t>万元，</w:t>
      </w:r>
      <w:r>
        <w:rPr>
          <w:rFonts w:hint="eastAsia" w:ascii="仿宋_GB2312" w:hAnsi="仿宋" w:eastAsia="仿宋_GB2312" w:cs="仿宋_GB2312"/>
          <w:sz w:val="32"/>
          <w:szCs w:val="32"/>
        </w:rPr>
        <w:t>比2018年预算数增加2,584.04万元，增长18.95％</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rPr>
        <w:t>3,447.77</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rPr>
        <w:t>2,699.61</w:t>
      </w:r>
      <w:r>
        <w:rPr>
          <w:rFonts w:hint="eastAsia" w:ascii="仿宋_GB2312" w:hAnsi="仿宋" w:eastAsia="仿宋_GB2312"/>
          <w:sz w:val="32"/>
          <w:szCs w:val="32"/>
        </w:rPr>
        <w:t>万元，公用支出</w:t>
      </w:r>
      <w:r>
        <w:rPr>
          <w:rFonts w:hint="eastAsia" w:ascii="仿宋_GB2312" w:hAnsi="仿宋" w:eastAsia="仿宋_GB2312" w:cs="仿宋_GB2312"/>
          <w:sz w:val="32"/>
          <w:szCs w:val="32"/>
        </w:rPr>
        <w:t>748.16</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rPr>
        <w:t>12,766.33</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2019年</w:t>
      </w:r>
      <w:r>
        <w:rPr>
          <w:rFonts w:hint="eastAsia" w:ascii="仿宋_GB2312" w:hAnsi="仿宋" w:eastAsia="仿宋_GB2312" w:cs="仿宋_GB2312"/>
          <w:sz w:val="32"/>
          <w:szCs w:val="32"/>
        </w:rPr>
        <w:t>度一般公共预算支出16,214.10万元，比2018年预算数增加</w:t>
      </w:r>
      <w:r>
        <w:rPr>
          <w:rFonts w:hint="eastAsia" w:ascii="仿宋_GB2312" w:hAnsi="仿宋" w:eastAsia="仿宋_GB2312" w:cs="仿宋_GB2312"/>
          <w:sz w:val="32"/>
          <w:szCs w:val="32"/>
          <w:lang w:val="en-US" w:eastAsia="zh-CN"/>
        </w:rPr>
        <w:t>2,584.04</w:t>
      </w:r>
      <w:r>
        <w:rPr>
          <w:rFonts w:hint="eastAsia" w:ascii="仿宋_GB2312" w:hAnsi="仿宋" w:eastAsia="仿宋_GB2312" w:cs="仿宋_GB2312"/>
          <w:sz w:val="32"/>
          <w:szCs w:val="32"/>
        </w:rPr>
        <w:t>万元，增长18.95%，主要是由于规划编制专项经费增加。支出项目(按项级科目分类统计)包括：</w:t>
      </w:r>
      <w:r>
        <w:rPr>
          <w:rFonts w:hint="eastAsia" w:ascii="仿宋_GB2312" w:hAnsi="仿宋" w:eastAsia="仿宋_GB2312"/>
          <w:sz w:val="32"/>
          <w:szCs w:val="32"/>
        </w:rPr>
        <w:t xml:space="preserve"> </w:t>
      </w:r>
    </w:p>
    <w:p>
      <w:pPr>
        <w:numPr>
          <w:ilvl w:val="0"/>
          <w:numId w:val="1"/>
        </w:num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“城乡社区规划与管理”</w:t>
      </w:r>
      <w:r>
        <w:rPr>
          <w:rFonts w:hint="eastAsia" w:ascii="仿宋_GB2312" w:hAnsi="仿宋" w:eastAsia="仿宋_GB2312" w:cs="仿宋_GB2312"/>
          <w:sz w:val="32"/>
          <w:szCs w:val="32"/>
          <w:lang w:val="en-US" w:eastAsia="zh-CN"/>
        </w:rPr>
        <w:t>12,002.71万元,</w:t>
      </w:r>
      <w:r>
        <w:rPr>
          <w:rFonts w:hint="eastAsia" w:ascii="仿宋_GB2312" w:hAnsi="仿宋" w:eastAsia="仿宋_GB2312" w:cs="仿宋_GB2312"/>
          <w:sz w:val="32"/>
          <w:szCs w:val="32"/>
        </w:rPr>
        <w:t>主要用于规划编制等专项支出。</w:t>
      </w:r>
    </w:p>
    <w:p>
      <w:pPr>
        <w:numPr>
          <w:ilvl w:val="0"/>
          <w:numId w:val="1"/>
        </w:numPr>
        <w:tabs>
          <w:tab w:val="left" w:pos="7513"/>
        </w:tabs>
        <w:adjustRightInd w:val="0"/>
        <w:snapToGrid w:val="0"/>
        <w:spacing w:line="56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“行政运行”</w:t>
      </w:r>
      <w:r>
        <w:rPr>
          <w:rFonts w:hint="eastAsia" w:ascii="仿宋_GB2312" w:hAnsi="仿宋" w:eastAsia="仿宋_GB2312" w:cs="仿宋_GB2312"/>
          <w:sz w:val="32"/>
          <w:szCs w:val="32"/>
          <w:lang w:val="en-US" w:eastAsia="zh-CN"/>
        </w:rPr>
        <w:t>2,751.11万元，</w:t>
      </w:r>
      <w:r>
        <w:rPr>
          <w:rFonts w:hint="eastAsia" w:ascii="仿宋_GB2312" w:hAnsi="仿宋" w:eastAsia="仿宋_GB2312" w:cs="仿宋_GB2312"/>
          <w:sz w:val="32"/>
          <w:szCs w:val="32"/>
        </w:rPr>
        <w:t>主要用于人员经费支出以及保障机构正常运转、完成日常工作任务等经费支出</w:t>
      </w:r>
      <w:r>
        <w:rPr>
          <w:rFonts w:hint="eastAsia" w:ascii="仿宋_GB2312" w:hAnsi="仿宋" w:eastAsia="仿宋_GB2312" w:cs="仿宋_GB2312"/>
          <w:sz w:val="32"/>
          <w:szCs w:val="32"/>
          <w:lang w:eastAsia="zh-CN"/>
        </w:rPr>
        <w:t>。</w:t>
      </w:r>
    </w:p>
    <w:p>
      <w:pPr>
        <w:numPr>
          <w:ilvl w:val="0"/>
          <w:numId w:val="1"/>
        </w:numPr>
        <w:tabs>
          <w:tab w:val="left" w:pos="7513"/>
        </w:tabs>
        <w:adjustRightInd w:val="0"/>
        <w:snapToGrid w:val="0"/>
        <w:spacing w:line="56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“其他城乡社区管理事务支出”</w:t>
      </w:r>
      <w:r>
        <w:rPr>
          <w:rFonts w:hint="eastAsia" w:ascii="仿宋_GB2312" w:hAnsi="仿宋" w:eastAsia="仿宋_GB2312" w:cs="仿宋_GB2312"/>
          <w:sz w:val="32"/>
          <w:szCs w:val="32"/>
          <w:lang w:val="en-US" w:eastAsia="zh-CN"/>
        </w:rPr>
        <w:t>772.76万元</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主要用于规划展览馆支出。</w:t>
      </w:r>
    </w:p>
    <w:p>
      <w:pPr>
        <w:numPr>
          <w:ilvl w:val="0"/>
          <w:numId w:val="1"/>
        </w:numPr>
        <w:tabs>
          <w:tab w:val="left" w:pos="7513"/>
        </w:tabs>
        <w:adjustRightInd w:val="0"/>
        <w:snapToGrid w:val="0"/>
        <w:spacing w:line="56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“行政单位医疗”</w:t>
      </w:r>
      <w:r>
        <w:rPr>
          <w:rFonts w:hint="eastAsia" w:ascii="仿宋_GB2312" w:hAnsi="仿宋" w:eastAsia="仿宋_GB2312" w:cs="仿宋_GB2312"/>
          <w:sz w:val="32"/>
          <w:szCs w:val="32"/>
          <w:lang w:val="en-US" w:eastAsia="zh-CN"/>
        </w:rPr>
        <w:t>52.92万元，</w:t>
      </w:r>
      <w:r>
        <w:rPr>
          <w:rFonts w:hint="eastAsia" w:ascii="仿宋_GB2312" w:hAnsi="仿宋" w:eastAsia="仿宋_GB2312" w:cs="仿宋_GB2312"/>
          <w:sz w:val="32"/>
          <w:szCs w:val="32"/>
        </w:rPr>
        <w:t>主要用于人员经费支出</w:t>
      </w:r>
      <w:r>
        <w:rPr>
          <w:rFonts w:hint="eastAsia" w:ascii="仿宋_GB2312" w:hAnsi="仿宋" w:eastAsia="仿宋_GB2312" w:cs="仿宋_GB2312"/>
          <w:sz w:val="32"/>
          <w:szCs w:val="32"/>
          <w:lang w:eastAsia="zh-CN"/>
        </w:rPr>
        <w:t>。</w:t>
      </w:r>
    </w:p>
    <w:p>
      <w:pPr>
        <w:numPr>
          <w:ilvl w:val="0"/>
          <w:numId w:val="1"/>
        </w:numPr>
        <w:tabs>
          <w:tab w:val="left" w:pos="7513"/>
        </w:tabs>
        <w:adjustRightInd w:val="0"/>
        <w:snapToGrid w:val="0"/>
        <w:spacing w:line="56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“公务员医疗补助”</w:t>
      </w:r>
      <w:r>
        <w:rPr>
          <w:rFonts w:hint="eastAsia" w:ascii="仿宋_GB2312" w:hAnsi="仿宋" w:eastAsia="仿宋_GB2312" w:cs="仿宋_GB2312"/>
          <w:sz w:val="32"/>
          <w:szCs w:val="32"/>
          <w:lang w:val="en-US" w:eastAsia="zh-CN"/>
        </w:rPr>
        <w:t>26.51万元，</w:t>
      </w:r>
      <w:r>
        <w:rPr>
          <w:rFonts w:hint="eastAsia" w:ascii="仿宋_GB2312" w:hAnsi="仿宋" w:eastAsia="仿宋_GB2312" w:cs="仿宋_GB2312"/>
          <w:sz w:val="32"/>
          <w:szCs w:val="32"/>
        </w:rPr>
        <w:t>主要用于人员经费支出</w:t>
      </w:r>
      <w:r>
        <w:rPr>
          <w:rFonts w:hint="eastAsia" w:ascii="仿宋_GB2312" w:hAnsi="仿宋" w:eastAsia="仿宋_GB2312" w:cs="仿宋_GB2312"/>
          <w:sz w:val="32"/>
          <w:szCs w:val="32"/>
          <w:lang w:eastAsia="zh-CN"/>
        </w:rPr>
        <w:t>。</w:t>
      </w:r>
    </w:p>
    <w:p>
      <w:pPr>
        <w:numPr>
          <w:ilvl w:val="0"/>
          <w:numId w:val="1"/>
        </w:numPr>
        <w:tabs>
          <w:tab w:val="left" w:pos="7513"/>
        </w:tabs>
        <w:adjustRightInd w:val="0"/>
        <w:snapToGrid w:val="0"/>
        <w:spacing w:line="56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sz w:val="32"/>
          <w:szCs w:val="32"/>
        </w:rPr>
        <w:t>“机关事业单位基本养老缴费支出”</w:t>
      </w:r>
      <w:r>
        <w:rPr>
          <w:rFonts w:hint="eastAsia" w:ascii="仿宋_GB2312" w:hAnsi="仿宋" w:eastAsia="仿宋_GB2312"/>
          <w:sz w:val="32"/>
          <w:szCs w:val="32"/>
          <w:lang w:val="en-US" w:eastAsia="zh-CN"/>
        </w:rPr>
        <w:t>190.83万元，</w:t>
      </w:r>
      <w:r>
        <w:rPr>
          <w:rFonts w:hint="eastAsia" w:ascii="仿宋_GB2312" w:hAnsi="仿宋" w:eastAsia="仿宋_GB2312" w:cs="仿宋_GB2312"/>
          <w:sz w:val="32"/>
          <w:szCs w:val="32"/>
        </w:rPr>
        <w:t>主要用于人员经费支出</w:t>
      </w:r>
      <w:r>
        <w:rPr>
          <w:rFonts w:hint="eastAsia" w:ascii="仿宋_GB2312" w:hAnsi="仿宋" w:eastAsia="仿宋_GB2312" w:cs="仿宋_GB2312"/>
          <w:sz w:val="32"/>
          <w:szCs w:val="32"/>
          <w:lang w:eastAsia="zh-CN"/>
        </w:rPr>
        <w:t>。</w:t>
      </w:r>
    </w:p>
    <w:p>
      <w:pPr>
        <w:numPr>
          <w:ilvl w:val="0"/>
          <w:numId w:val="1"/>
        </w:numPr>
        <w:tabs>
          <w:tab w:val="left" w:pos="7513"/>
        </w:tabs>
        <w:adjustRightInd w:val="0"/>
        <w:snapToGrid w:val="0"/>
        <w:spacing w:line="56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sz w:val="32"/>
          <w:szCs w:val="32"/>
        </w:rPr>
        <w:t>“机关事业单位职业年金缴费支出”</w:t>
      </w:r>
      <w:r>
        <w:rPr>
          <w:rFonts w:hint="eastAsia" w:ascii="仿宋_GB2312" w:hAnsi="仿宋" w:eastAsia="仿宋_GB2312"/>
          <w:sz w:val="32"/>
          <w:szCs w:val="32"/>
          <w:lang w:val="en-US" w:eastAsia="zh-CN"/>
        </w:rPr>
        <w:t>7万元，</w:t>
      </w:r>
      <w:r>
        <w:rPr>
          <w:rFonts w:hint="eastAsia" w:ascii="仿宋_GB2312" w:hAnsi="仿宋" w:eastAsia="仿宋_GB2312" w:cs="仿宋_GB2312"/>
          <w:sz w:val="32"/>
          <w:szCs w:val="32"/>
        </w:rPr>
        <w:t>主要用于人员经费支出</w:t>
      </w:r>
      <w:r>
        <w:rPr>
          <w:rFonts w:hint="eastAsia" w:ascii="仿宋_GB2312" w:hAnsi="仿宋" w:eastAsia="仿宋_GB2312" w:cs="仿宋_GB2312"/>
          <w:sz w:val="32"/>
          <w:szCs w:val="32"/>
          <w:lang w:eastAsia="zh-CN"/>
        </w:rPr>
        <w:t>。</w:t>
      </w:r>
    </w:p>
    <w:p>
      <w:pPr>
        <w:numPr>
          <w:ilvl w:val="0"/>
          <w:numId w:val="1"/>
        </w:numPr>
        <w:tabs>
          <w:tab w:val="left" w:pos="7513"/>
        </w:tabs>
        <w:adjustRightInd w:val="0"/>
        <w:snapToGrid w:val="0"/>
        <w:spacing w:line="56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sz w:val="32"/>
          <w:szCs w:val="32"/>
        </w:rPr>
        <w:t>“事业单位医疗”</w:t>
      </w:r>
      <w:r>
        <w:rPr>
          <w:rFonts w:hint="eastAsia" w:ascii="仿宋_GB2312" w:hAnsi="仿宋" w:eastAsia="仿宋_GB2312" w:cs="仿宋_GB2312"/>
          <w:sz w:val="32"/>
          <w:szCs w:val="32"/>
          <w:lang w:val="en-US" w:eastAsia="zh-CN"/>
        </w:rPr>
        <w:t>4.06</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主要用于人员经费支出。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九</w:t>
      </w:r>
      <w:r>
        <w:rPr>
          <w:rFonts w:hint="eastAsia" w:ascii="仿宋_GB2312" w:hAnsi="仿宋" w:eastAsia="仿宋_GB2312" w:cs="仿宋_GB2312"/>
          <w:sz w:val="32"/>
          <w:szCs w:val="32"/>
        </w:rPr>
        <w:t>）“其他科技条件与服务支出”222.12万元。主要用于规划信息化支出。</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十</w:t>
      </w:r>
      <w:r>
        <w:rPr>
          <w:rFonts w:hint="eastAsia" w:ascii="仿宋_GB2312" w:hAnsi="仿宋" w:eastAsia="仿宋_GB2312" w:cs="仿宋_GB2312"/>
          <w:sz w:val="32"/>
          <w:szCs w:val="32"/>
        </w:rPr>
        <w:t>）“归口管理的行政单位离退休”184.08万元。主要用于行政单位离退休人员经费。</w:t>
      </w:r>
    </w:p>
    <w:p>
      <w:pPr>
        <w:tabs>
          <w:tab w:val="left" w:pos="7513"/>
        </w:tabs>
        <w:adjustRightInd w:val="0"/>
        <w:snapToGrid w:val="0"/>
        <w:spacing w:line="560" w:lineRule="exact"/>
        <w:rPr>
          <w:rFonts w:ascii="黑体" w:hAnsi="黑体" w:eastAsia="黑体" w:cs="仿宋_GB2312"/>
          <w:sz w:val="32"/>
          <w:szCs w:val="32"/>
        </w:rPr>
      </w:pPr>
      <w:r>
        <w:rPr>
          <w:rFonts w:hint="eastAsia" w:ascii="仿宋_GB2312" w:hAnsi="仿宋" w:eastAsia="仿宋_GB2312" w:cs="仿宋_GB2312"/>
          <w:sz w:val="32"/>
          <w:szCs w:val="32"/>
        </w:rPr>
        <w:t xml:space="preserve">    </w:t>
      </w: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2019年厦门市规划委员会没有使用政府性基金预算拨款安排支出。</w:t>
      </w:r>
    </w:p>
    <w:p>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rPr>
        <w:t>厦门市规划委员会2019年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rPr>
        <w:t>44.19</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：因公出国（境）经费33.69万元，公务接待费10.5万元，公务用车购置及运行费0万元。具体情况如下：</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2019年预算安排33.69万元。主要用于城市规划建设交流</w:t>
      </w:r>
      <w:r>
        <w:rPr>
          <w:rFonts w:hint="eastAsia" w:ascii="仿宋_GB2312" w:hAnsi="仿宋" w:eastAsia="仿宋_GB2312" w:cs="宋体"/>
          <w:kern w:val="0"/>
          <w:sz w:val="32"/>
          <w:szCs w:val="32"/>
        </w:rPr>
        <w:t>。</w:t>
      </w:r>
      <w:r>
        <w:rPr>
          <w:rFonts w:hint="eastAsia" w:ascii="仿宋_GB2312" w:hAnsi="仿宋" w:eastAsia="仿宋_GB2312" w:cs="仿宋_GB2312"/>
          <w:sz w:val="32"/>
          <w:szCs w:val="32"/>
        </w:rPr>
        <w:t>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年预算相比增长</w:t>
      </w:r>
      <w:r>
        <w:rPr>
          <w:rFonts w:hint="eastAsia" w:ascii="仿宋_GB2312" w:hAnsi="仿宋" w:eastAsia="仿宋_GB2312" w:cs="仿宋_GB2312"/>
          <w:kern w:val="0"/>
          <w:sz w:val="32"/>
          <w:szCs w:val="32"/>
        </w:rPr>
        <w:t>31</w:t>
      </w:r>
      <w:r>
        <w:rPr>
          <w:rFonts w:hint="eastAsia" w:ascii="仿宋_GB2312" w:hAnsi="仿宋" w:eastAsia="仿宋_GB2312" w:cs="仿宋_GB2312"/>
          <w:sz w:val="32"/>
          <w:szCs w:val="32"/>
        </w:rPr>
        <w:t>%，主要原因是:出访的国家不同。</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2019年预算安排10.5万元。主要用于</w:t>
      </w:r>
      <w:r>
        <w:rPr>
          <w:rFonts w:hint="eastAsia" w:ascii="仿宋_GB2312" w:hAnsi="仿宋" w:eastAsia="仿宋_GB2312" w:cs="仿宋_GB2312"/>
          <w:kern w:val="0"/>
          <w:sz w:val="32"/>
          <w:szCs w:val="32"/>
        </w:rPr>
        <w:t>全国各省市单位到我委调研学习</w:t>
      </w:r>
      <w:r>
        <w:rPr>
          <w:rFonts w:hint="eastAsia" w:ascii="仿宋_GB2312" w:hAnsi="仿宋" w:eastAsia="仿宋_GB2312" w:cs="宋体"/>
          <w:kern w:val="0"/>
          <w:sz w:val="32"/>
          <w:szCs w:val="32"/>
        </w:rPr>
        <w:t>等方面的接待活动。与上年预算</w:t>
      </w:r>
      <w:r>
        <w:rPr>
          <w:rFonts w:hint="eastAsia" w:ascii="仿宋_GB2312" w:hAnsi="仿宋" w:eastAsia="仿宋_GB2312" w:cs="仿宋_GB2312"/>
          <w:sz w:val="32"/>
          <w:szCs w:val="32"/>
        </w:rPr>
        <w:t>相比下降17%，主要原因是:严格执行公务接待相关规定。</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kern w:val="0"/>
          <w:sz w:val="32"/>
          <w:szCs w:val="32"/>
        </w:rPr>
        <w:t>2019年</w:t>
      </w:r>
      <w:r>
        <w:rPr>
          <w:rFonts w:hint="eastAsia" w:ascii="仿宋_GB2312" w:hAnsi="仿宋" w:eastAsia="仿宋_GB2312" w:cs="宋体"/>
          <w:kern w:val="0"/>
          <w:sz w:val="32"/>
          <w:szCs w:val="32"/>
        </w:rPr>
        <w:t>预算安排0万元，与上年预算相比下降100%，主要原因是:车辆按相关要求无偿划拨机关事务管理局统一管理。</w:t>
      </w:r>
    </w:p>
    <w:p>
      <w:pPr>
        <w:tabs>
          <w:tab w:val="left" w:pos="7513"/>
        </w:tabs>
        <w:adjustRightInd w:val="0"/>
        <w:snapToGrid w:val="0"/>
        <w:spacing w:line="560" w:lineRule="exact"/>
        <w:rPr>
          <w:rFonts w:ascii="黑体" w:hAnsi="黑体" w:eastAsia="黑体" w:cs="宋体"/>
          <w:kern w:val="0"/>
          <w:sz w:val="32"/>
          <w:szCs w:val="32"/>
        </w:rPr>
      </w:pPr>
      <w:r>
        <w:rPr>
          <w:rFonts w:hint="eastAsia" w:ascii="仿宋_GB2312" w:hAnsi="仿宋" w:eastAsia="仿宋_GB2312" w:cs="仿宋_GB2312"/>
          <w:sz w:val="32"/>
          <w:szCs w:val="32"/>
        </w:rPr>
        <w:t xml:space="preserve">     </w:t>
      </w: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2019年厦门市规划委员会的机关运行经费财政拨款预算486.42万元，比2018年预算增加35.47万元，增长7.87%。</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2019年厦门市规划委员会政府采购预算总额12,424.27万元，其中：政府采购货物预算24.2万元，政府采购工程预算0万元，政府采购服务预算12,400.07万元。</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至2018年12月31日，厦门市规划委员会所属各预算单位共有车辆8辆，</w:t>
      </w:r>
      <w:r>
        <w:rPr>
          <w:rFonts w:ascii="仿宋_GB2312" w:hAnsi="仿宋" w:eastAsia="仿宋_GB2312" w:cs="仿宋_GB2312"/>
          <w:sz w:val="32"/>
          <w:szCs w:val="32"/>
        </w:rPr>
        <w:t xml:space="preserve">单位价值50万以上通用设备 </w:t>
      </w:r>
      <w:r>
        <w:rPr>
          <w:rFonts w:hint="eastAsia" w:ascii="仿宋_GB2312" w:hAnsi="仿宋" w:eastAsia="仿宋_GB2312" w:cs="仿宋_GB2312"/>
          <w:sz w:val="32"/>
          <w:szCs w:val="32"/>
        </w:rPr>
        <w:t>1</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单位价值100万以上专用设备 </w:t>
      </w:r>
      <w:r>
        <w:rPr>
          <w:rFonts w:hint="eastAsia" w:ascii="仿宋_GB2312" w:hAnsi="仿宋" w:eastAsia="仿宋_GB2312" w:cs="仿宋_GB2312"/>
          <w:sz w:val="32"/>
          <w:szCs w:val="32"/>
        </w:rPr>
        <w:t>1</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厦门市规划委员会2019年实行绩效目标管理的项目2个，涉及一般公共预算拨款11,692.12万元。</w:t>
      </w:r>
    </w:p>
    <w:p>
      <w:pPr>
        <w:tabs>
          <w:tab w:val="left" w:pos="7513"/>
        </w:tabs>
        <w:adjustRightInd w:val="0"/>
        <w:snapToGrid w:val="0"/>
        <w:spacing w:line="560" w:lineRule="exact"/>
        <w:ind w:firstLine="640" w:firstLineChars="200"/>
        <w:rPr>
          <w:rFonts w:hint="eastAsia" w:ascii="仿宋_GB2312" w:hAnsi="宋体" w:eastAsia="仿宋_GB2312" w:cs="宋体"/>
          <w:color w:val="FF0000"/>
          <w:kern w:val="0"/>
          <w:sz w:val="32"/>
          <w:szCs w:val="32"/>
          <w:lang w:val="en-US" w:eastAsia="zh-CN"/>
        </w:rPr>
      </w:pPr>
      <w:r>
        <w:rPr>
          <w:rFonts w:hint="eastAsia" w:ascii="仿宋_GB2312" w:hAnsi="仿宋" w:eastAsia="仿宋_GB2312" w:cs="仿宋_GB2312"/>
          <w:color w:val="FF0000"/>
          <w:sz w:val="32"/>
          <w:szCs w:val="32"/>
          <w:lang w:eastAsia="zh-CN"/>
        </w:rPr>
        <w:t>（五）</w:t>
      </w:r>
      <w:r>
        <w:rPr>
          <w:rFonts w:hint="eastAsia" w:ascii="仿宋_GB2312" w:hAnsi="仿宋" w:eastAsia="仿宋_GB2312" w:cs="仿宋_GB2312"/>
          <w:color w:val="FF0000"/>
          <w:sz w:val="32"/>
          <w:szCs w:val="32"/>
        </w:rPr>
        <w:t>2019年厦门市规划委员会没有</w:t>
      </w:r>
      <w:r>
        <w:rPr>
          <w:rFonts w:hint="eastAsia" w:ascii="仿宋_GB2312" w:hAnsi="仿宋" w:eastAsia="仿宋_GB2312" w:cs="仿宋_GB2312"/>
          <w:color w:val="FF0000"/>
          <w:sz w:val="32"/>
          <w:szCs w:val="32"/>
          <w:lang w:eastAsia="zh-CN"/>
        </w:rPr>
        <w:t>市对区转移支</w:t>
      </w:r>
      <w:r>
        <w:rPr>
          <w:rFonts w:hint="eastAsia" w:ascii="仿宋_GB2312" w:hAnsi="仿宋" w:eastAsia="仿宋_GB2312" w:cs="仿宋_GB2312"/>
          <w:color w:val="FF0000"/>
          <w:sz w:val="32"/>
          <w:szCs w:val="32"/>
        </w:rPr>
        <w:t>出</w:t>
      </w:r>
      <w:r>
        <w:rPr>
          <w:rFonts w:hint="eastAsia" w:ascii="仿宋_GB2312" w:hAnsi="仿宋" w:eastAsia="仿宋_GB2312" w:cs="仿宋_GB2312"/>
          <w:color w:val="FF0000"/>
          <w:sz w:val="32"/>
          <w:szCs w:val="32"/>
          <w:lang w:eastAsia="zh-CN"/>
        </w:rPr>
        <w:t>项目</w:t>
      </w:r>
      <w:r>
        <w:rPr>
          <w:rFonts w:hint="eastAsia" w:ascii="仿宋_GB2312" w:hAnsi="仿宋" w:eastAsia="仿宋_GB2312" w:cs="仿宋_GB2312"/>
          <w:color w:val="FF0000"/>
          <w:sz w:val="32"/>
          <w:szCs w:val="32"/>
        </w:rPr>
        <w:t>。</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。由各部门根据实际情况予以增加说明。</w:t>
      </w:r>
    </w:p>
    <w:p>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2019年部门预算附表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0BC30"/>
    <w:multiLevelType w:val="singleLevel"/>
    <w:tmpl w:val="A190BC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56"/>
    <w:rsid w:val="00014BC8"/>
    <w:rsid w:val="00017205"/>
    <w:rsid w:val="000202BF"/>
    <w:rsid w:val="0005340A"/>
    <w:rsid w:val="000579BF"/>
    <w:rsid w:val="00064213"/>
    <w:rsid w:val="00067E77"/>
    <w:rsid w:val="00071064"/>
    <w:rsid w:val="00087AE7"/>
    <w:rsid w:val="00095DF6"/>
    <w:rsid w:val="000A1317"/>
    <w:rsid w:val="000B3FA9"/>
    <w:rsid w:val="000B4506"/>
    <w:rsid w:val="000B72A0"/>
    <w:rsid w:val="000C244E"/>
    <w:rsid w:val="000C6D4E"/>
    <w:rsid w:val="000D56B4"/>
    <w:rsid w:val="000E0A3E"/>
    <w:rsid w:val="000E4CF1"/>
    <w:rsid w:val="000F0054"/>
    <w:rsid w:val="00101E1E"/>
    <w:rsid w:val="0010339E"/>
    <w:rsid w:val="00105E19"/>
    <w:rsid w:val="00110CFE"/>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1A75"/>
    <w:rsid w:val="001D2705"/>
    <w:rsid w:val="001F4E8F"/>
    <w:rsid w:val="001F57A4"/>
    <w:rsid w:val="0020259B"/>
    <w:rsid w:val="00206F25"/>
    <w:rsid w:val="0021249A"/>
    <w:rsid w:val="0021458D"/>
    <w:rsid w:val="00217AEE"/>
    <w:rsid w:val="00226968"/>
    <w:rsid w:val="00230250"/>
    <w:rsid w:val="00230425"/>
    <w:rsid w:val="00236379"/>
    <w:rsid w:val="0024072F"/>
    <w:rsid w:val="00250340"/>
    <w:rsid w:val="0025510A"/>
    <w:rsid w:val="00255840"/>
    <w:rsid w:val="00262676"/>
    <w:rsid w:val="00281710"/>
    <w:rsid w:val="002A3A32"/>
    <w:rsid w:val="002A57B9"/>
    <w:rsid w:val="002B5183"/>
    <w:rsid w:val="002D0A15"/>
    <w:rsid w:val="002D15C4"/>
    <w:rsid w:val="002E0930"/>
    <w:rsid w:val="002E0A1B"/>
    <w:rsid w:val="002F14C8"/>
    <w:rsid w:val="002F3F0A"/>
    <w:rsid w:val="002F5913"/>
    <w:rsid w:val="002F5AFC"/>
    <w:rsid w:val="002F6D41"/>
    <w:rsid w:val="002F7C64"/>
    <w:rsid w:val="00313813"/>
    <w:rsid w:val="003174EF"/>
    <w:rsid w:val="0032357E"/>
    <w:rsid w:val="003327C1"/>
    <w:rsid w:val="00355938"/>
    <w:rsid w:val="00393DF0"/>
    <w:rsid w:val="003A7C1F"/>
    <w:rsid w:val="003B2C79"/>
    <w:rsid w:val="003C021C"/>
    <w:rsid w:val="003C3714"/>
    <w:rsid w:val="003C4159"/>
    <w:rsid w:val="003C572F"/>
    <w:rsid w:val="003D1386"/>
    <w:rsid w:val="003D3ED0"/>
    <w:rsid w:val="003D7454"/>
    <w:rsid w:val="003D7CA3"/>
    <w:rsid w:val="003F2625"/>
    <w:rsid w:val="00433CE8"/>
    <w:rsid w:val="00434AF7"/>
    <w:rsid w:val="0043631A"/>
    <w:rsid w:val="00440B6F"/>
    <w:rsid w:val="004440C6"/>
    <w:rsid w:val="0046698E"/>
    <w:rsid w:val="00470D52"/>
    <w:rsid w:val="00471803"/>
    <w:rsid w:val="004807A0"/>
    <w:rsid w:val="004828F4"/>
    <w:rsid w:val="00483D42"/>
    <w:rsid w:val="00494B88"/>
    <w:rsid w:val="004A2B24"/>
    <w:rsid w:val="004A4CA3"/>
    <w:rsid w:val="004C5C6D"/>
    <w:rsid w:val="004D55BD"/>
    <w:rsid w:val="004E268F"/>
    <w:rsid w:val="004F023E"/>
    <w:rsid w:val="004F1F64"/>
    <w:rsid w:val="004F2681"/>
    <w:rsid w:val="00501E5E"/>
    <w:rsid w:val="005022DC"/>
    <w:rsid w:val="00510F9A"/>
    <w:rsid w:val="00520F39"/>
    <w:rsid w:val="005247F3"/>
    <w:rsid w:val="00530093"/>
    <w:rsid w:val="00531437"/>
    <w:rsid w:val="00535D1B"/>
    <w:rsid w:val="005600E0"/>
    <w:rsid w:val="00591439"/>
    <w:rsid w:val="00593CE6"/>
    <w:rsid w:val="005A7AFC"/>
    <w:rsid w:val="005B1657"/>
    <w:rsid w:val="005B3DC6"/>
    <w:rsid w:val="005D1F82"/>
    <w:rsid w:val="005D4FC9"/>
    <w:rsid w:val="006065AA"/>
    <w:rsid w:val="00613928"/>
    <w:rsid w:val="006217B8"/>
    <w:rsid w:val="00622F26"/>
    <w:rsid w:val="00623699"/>
    <w:rsid w:val="0064663E"/>
    <w:rsid w:val="006520ED"/>
    <w:rsid w:val="006622E1"/>
    <w:rsid w:val="0066381E"/>
    <w:rsid w:val="00663FE9"/>
    <w:rsid w:val="006709F8"/>
    <w:rsid w:val="006862EB"/>
    <w:rsid w:val="00690DAF"/>
    <w:rsid w:val="00691677"/>
    <w:rsid w:val="00696AB3"/>
    <w:rsid w:val="00697731"/>
    <w:rsid w:val="006B552A"/>
    <w:rsid w:val="006C38B1"/>
    <w:rsid w:val="006D78DF"/>
    <w:rsid w:val="006E486E"/>
    <w:rsid w:val="006E6084"/>
    <w:rsid w:val="0070481C"/>
    <w:rsid w:val="00706BB6"/>
    <w:rsid w:val="0073539D"/>
    <w:rsid w:val="0073622A"/>
    <w:rsid w:val="00736287"/>
    <w:rsid w:val="00740EB6"/>
    <w:rsid w:val="0076744B"/>
    <w:rsid w:val="00775CCE"/>
    <w:rsid w:val="00775FF1"/>
    <w:rsid w:val="007E2CBF"/>
    <w:rsid w:val="007F6486"/>
    <w:rsid w:val="007F7981"/>
    <w:rsid w:val="008101C7"/>
    <w:rsid w:val="00811172"/>
    <w:rsid w:val="00813D5F"/>
    <w:rsid w:val="008520DB"/>
    <w:rsid w:val="00862CB0"/>
    <w:rsid w:val="0087042D"/>
    <w:rsid w:val="008978F4"/>
    <w:rsid w:val="008A0202"/>
    <w:rsid w:val="008A1477"/>
    <w:rsid w:val="008A30EE"/>
    <w:rsid w:val="008C0715"/>
    <w:rsid w:val="008C19F8"/>
    <w:rsid w:val="008D0A5A"/>
    <w:rsid w:val="008D28BF"/>
    <w:rsid w:val="009005A0"/>
    <w:rsid w:val="0090203E"/>
    <w:rsid w:val="00903B61"/>
    <w:rsid w:val="00912CF2"/>
    <w:rsid w:val="00914AED"/>
    <w:rsid w:val="00914E45"/>
    <w:rsid w:val="009215C6"/>
    <w:rsid w:val="00923ED5"/>
    <w:rsid w:val="009254CD"/>
    <w:rsid w:val="0092759D"/>
    <w:rsid w:val="00927856"/>
    <w:rsid w:val="00936899"/>
    <w:rsid w:val="00937853"/>
    <w:rsid w:val="00940D41"/>
    <w:rsid w:val="009526F4"/>
    <w:rsid w:val="0097074C"/>
    <w:rsid w:val="00975D25"/>
    <w:rsid w:val="009766CF"/>
    <w:rsid w:val="00982DFC"/>
    <w:rsid w:val="00984199"/>
    <w:rsid w:val="00985476"/>
    <w:rsid w:val="00985C08"/>
    <w:rsid w:val="009900FC"/>
    <w:rsid w:val="009A2495"/>
    <w:rsid w:val="009C3885"/>
    <w:rsid w:val="009D07EF"/>
    <w:rsid w:val="009E0716"/>
    <w:rsid w:val="009F49C3"/>
    <w:rsid w:val="00A04FA2"/>
    <w:rsid w:val="00A20D2C"/>
    <w:rsid w:val="00A337B7"/>
    <w:rsid w:val="00A3500D"/>
    <w:rsid w:val="00A377F8"/>
    <w:rsid w:val="00A414E9"/>
    <w:rsid w:val="00A45DEC"/>
    <w:rsid w:val="00A51FCF"/>
    <w:rsid w:val="00A53717"/>
    <w:rsid w:val="00A57417"/>
    <w:rsid w:val="00A6588D"/>
    <w:rsid w:val="00A664AE"/>
    <w:rsid w:val="00A76C76"/>
    <w:rsid w:val="00A8388D"/>
    <w:rsid w:val="00A87350"/>
    <w:rsid w:val="00AA2F9D"/>
    <w:rsid w:val="00AA53F0"/>
    <w:rsid w:val="00AA6EDB"/>
    <w:rsid w:val="00AC2A5A"/>
    <w:rsid w:val="00AC4D56"/>
    <w:rsid w:val="00AE1609"/>
    <w:rsid w:val="00AF3433"/>
    <w:rsid w:val="00AF4BDC"/>
    <w:rsid w:val="00AF537F"/>
    <w:rsid w:val="00B151EF"/>
    <w:rsid w:val="00B21978"/>
    <w:rsid w:val="00B22048"/>
    <w:rsid w:val="00B249A9"/>
    <w:rsid w:val="00B36104"/>
    <w:rsid w:val="00B421DF"/>
    <w:rsid w:val="00B44CCC"/>
    <w:rsid w:val="00B47F76"/>
    <w:rsid w:val="00B51A48"/>
    <w:rsid w:val="00B524FD"/>
    <w:rsid w:val="00B538AF"/>
    <w:rsid w:val="00B74556"/>
    <w:rsid w:val="00B85787"/>
    <w:rsid w:val="00B96E93"/>
    <w:rsid w:val="00BB59E6"/>
    <w:rsid w:val="00BC188F"/>
    <w:rsid w:val="00BC6796"/>
    <w:rsid w:val="00BC6BA1"/>
    <w:rsid w:val="00BD4464"/>
    <w:rsid w:val="00BF52AA"/>
    <w:rsid w:val="00C05509"/>
    <w:rsid w:val="00C14913"/>
    <w:rsid w:val="00C267B8"/>
    <w:rsid w:val="00C42AED"/>
    <w:rsid w:val="00C44ACC"/>
    <w:rsid w:val="00C453D4"/>
    <w:rsid w:val="00C477B8"/>
    <w:rsid w:val="00C47A3C"/>
    <w:rsid w:val="00C635A3"/>
    <w:rsid w:val="00C67F28"/>
    <w:rsid w:val="00C73895"/>
    <w:rsid w:val="00C969B7"/>
    <w:rsid w:val="00CA2C11"/>
    <w:rsid w:val="00CB0A46"/>
    <w:rsid w:val="00CB4F75"/>
    <w:rsid w:val="00CC0751"/>
    <w:rsid w:val="00CC4FC2"/>
    <w:rsid w:val="00CD06CA"/>
    <w:rsid w:val="00CD3520"/>
    <w:rsid w:val="00CF176F"/>
    <w:rsid w:val="00D05B4E"/>
    <w:rsid w:val="00D31385"/>
    <w:rsid w:val="00D324D7"/>
    <w:rsid w:val="00D331CB"/>
    <w:rsid w:val="00D34396"/>
    <w:rsid w:val="00D528C1"/>
    <w:rsid w:val="00D62BA7"/>
    <w:rsid w:val="00D775EF"/>
    <w:rsid w:val="00D8545E"/>
    <w:rsid w:val="00DA3ABA"/>
    <w:rsid w:val="00DA5350"/>
    <w:rsid w:val="00DD1484"/>
    <w:rsid w:val="00DD1F77"/>
    <w:rsid w:val="00DD2F03"/>
    <w:rsid w:val="00DE0A9F"/>
    <w:rsid w:val="00DE3FA2"/>
    <w:rsid w:val="00DE69FB"/>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91981"/>
    <w:rsid w:val="00E928F0"/>
    <w:rsid w:val="00E93063"/>
    <w:rsid w:val="00EA0317"/>
    <w:rsid w:val="00EA1C9C"/>
    <w:rsid w:val="00EA5E52"/>
    <w:rsid w:val="00ED3350"/>
    <w:rsid w:val="00EE67C8"/>
    <w:rsid w:val="00EF53CB"/>
    <w:rsid w:val="00EF7F15"/>
    <w:rsid w:val="00F37505"/>
    <w:rsid w:val="00F45576"/>
    <w:rsid w:val="00F464C6"/>
    <w:rsid w:val="00F5088D"/>
    <w:rsid w:val="00F615C9"/>
    <w:rsid w:val="00F62984"/>
    <w:rsid w:val="00F64120"/>
    <w:rsid w:val="00F96BD1"/>
    <w:rsid w:val="00FA2A79"/>
    <w:rsid w:val="00FA45FF"/>
    <w:rsid w:val="00FB03BD"/>
    <w:rsid w:val="00FB2748"/>
    <w:rsid w:val="00FD21BF"/>
    <w:rsid w:val="00FE2DF9"/>
    <w:rsid w:val="00FF52CF"/>
    <w:rsid w:val="00FF543A"/>
    <w:rsid w:val="00FF702C"/>
    <w:rsid w:val="2933364E"/>
    <w:rsid w:val="2CAE3F7E"/>
    <w:rsid w:val="3B4E3D63"/>
    <w:rsid w:val="5B0950A4"/>
    <w:rsid w:val="5C8D164F"/>
    <w:rsid w:val="716A556C"/>
    <w:rsid w:val="7193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kern w:val="0"/>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character" w:styleId="6">
    <w:name w:val="Strong"/>
    <w:qFormat/>
    <w:uiPriority w:val="22"/>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character" w:styleId="11">
    <w:name w:val="Placeholder Text"/>
    <w:semiHidden/>
    <w:qFormat/>
    <w:uiPriority w:val="99"/>
    <w:rPr>
      <w:color w:val="808080"/>
    </w:rPr>
  </w:style>
  <w:style w:type="character" w:customStyle="1" w:styleId="12">
    <w:name w:val="批注框文本 Char"/>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575</Words>
  <Characters>3281</Characters>
  <Lines>27</Lines>
  <Paragraphs>7</Paragraphs>
  <TotalTime>3</TotalTime>
  <ScaleCrop>false</ScaleCrop>
  <LinksUpToDate>false</LinksUpToDate>
  <CharactersWithSpaces>3849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2019-01-17T07:43:00Z</dcterms:created>
  <dc:creator>Anonymous</dc:creator>
  <cp:lastModifiedBy>黄晖</cp:lastModifiedBy>
  <cp:lastPrinted>2017-01-17T08:49:00Z</cp:lastPrinted>
  <dcterms:modified xsi:type="dcterms:W3CDTF">2021-06-25T02:43:39Z</dcterms:modified>
  <dc:title>附件2-4</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