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6AF59">
      <w:pPr>
        <w:spacing w:line="580" w:lineRule="exact"/>
        <w:jc w:val="center"/>
        <w:rPr>
          <w:rFonts w:ascii="方正小标宋简体" w:hAnsi="仿宋" w:eastAsia="方正小标宋简体"/>
          <w:sz w:val="44"/>
          <w:szCs w:val="44"/>
        </w:rPr>
      </w:pPr>
      <w:bookmarkStart w:id="0" w:name="_GoBack"/>
      <w:r>
        <w:rPr>
          <w:rFonts w:hint="eastAsia" w:ascii="方正小标宋简体" w:hAnsi="仿宋" w:eastAsia="方正小标宋简体" w:cs="仿宋_GB2312"/>
          <w:sz w:val="44"/>
          <w:szCs w:val="44"/>
        </w:rPr>
        <w:t>2020年厦门市文化和旅游局</w:t>
      </w:r>
      <w:r>
        <w:rPr>
          <w:rFonts w:hint="eastAsia" w:ascii="方正小标宋简体" w:hAnsi="仿宋" w:eastAsia="方正小标宋简体"/>
          <w:sz w:val="44"/>
          <w:szCs w:val="44"/>
        </w:rPr>
        <w:t>预算说明</w:t>
      </w:r>
    </w:p>
    <w:bookmarkEnd w:id="0"/>
    <w:p w14:paraId="0DF33ADB">
      <w:pPr>
        <w:spacing w:line="580" w:lineRule="exact"/>
        <w:jc w:val="center"/>
        <w:rPr>
          <w:rFonts w:ascii="黑体" w:hAnsi="黑体" w:eastAsia="黑体"/>
          <w:sz w:val="32"/>
          <w:szCs w:val="32"/>
        </w:rPr>
      </w:pPr>
    </w:p>
    <w:p w14:paraId="650293F1">
      <w:pPr>
        <w:spacing w:line="580" w:lineRule="exact"/>
        <w:jc w:val="center"/>
        <w:rPr>
          <w:rFonts w:ascii="黑体" w:hAnsi="黑体" w:eastAsia="黑体"/>
          <w:sz w:val="32"/>
          <w:szCs w:val="32"/>
        </w:rPr>
      </w:pPr>
      <w:r>
        <w:rPr>
          <w:rFonts w:hint="eastAsia" w:ascii="黑体" w:hAnsi="黑体" w:eastAsia="黑体"/>
          <w:sz w:val="32"/>
          <w:szCs w:val="32"/>
        </w:rPr>
        <w:t>目   录</w:t>
      </w:r>
    </w:p>
    <w:p w14:paraId="67BF25F6">
      <w:pPr>
        <w:tabs>
          <w:tab w:val="left" w:pos="7513"/>
        </w:tabs>
        <w:adjustRightInd w:val="0"/>
        <w:snapToGrid w:val="0"/>
        <w:spacing w:line="580" w:lineRule="exact"/>
        <w:ind w:firstLine="640" w:firstLineChars="200"/>
        <w:rPr>
          <w:rFonts w:ascii="黑体" w:hAnsi="黑体" w:eastAsia="黑体"/>
          <w:sz w:val="32"/>
          <w:szCs w:val="32"/>
        </w:rPr>
      </w:pPr>
      <w:r>
        <w:rPr>
          <w:rFonts w:hint="eastAsia" w:ascii="黑体" w:eastAsia="黑体"/>
          <w:sz w:val="32"/>
          <w:szCs w:val="32"/>
        </w:rPr>
        <w:t xml:space="preserve">第一部分  </w:t>
      </w:r>
      <w:r>
        <w:rPr>
          <w:rFonts w:hint="eastAsia" w:ascii="黑体" w:hAnsi="黑体" w:eastAsia="黑体"/>
          <w:sz w:val="32"/>
          <w:szCs w:val="32"/>
        </w:rPr>
        <w:t>部门概况</w:t>
      </w:r>
    </w:p>
    <w:p w14:paraId="6984C5C1">
      <w:pPr>
        <w:tabs>
          <w:tab w:val="left" w:pos="7513"/>
        </w:tabs>
        <w:adjustRightInd w:val="0"/>
        <w:snapToGrid w:val="0"/>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一、部门主要职责</w:t>
      </w:r>
    </w:p>
    <w:p w14:paraId="665CF4A0">
      <w:pPr>
        <w:tabs>
          <w:tab w:val="left" w:pos="7513"/>
        </w:tabs>
        <w:adjustRightInd w:val="0"/>
        <w:snapToGrid w:val="0"/>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二、部门预算单位基本情况</w:t>
      </w:r>
    </w:p>
    <w:p w14:paraId="46D991AA">
      <w:pPr>
        <w:tabs>
          <w:tab w:val="left" w:pos="7513"/>
        </w:tabs>
        <w:adjustRightInd w:val="0"/>
        <w:snapToGrid w:val="0"/>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三、部门主要工作任务</w:t>
      </w:r>
    </w:p>
    <w:p w14:paraId="79A23194">
      <w:pPr>
        <w:tabs>
          <w:tab w:val="left" w:pos="7513"/>
        </w:tabs>
        <w:adjustRightInd w:val="0"/>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第二部分  2020年部门预算说明</w:t>
      </w:r>
    </w:p>
    <w:p w14:paraId="574D4569">
      <w:pPr>
        <w:tabs>
          <w:tab w:val="left" w:pos="7513"/>
        </w:tabs>
        <w:adjustRightInd w:val="0"/>
        <w:snapToGrid w:val="0"/>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一、2020年部门预算收支总体情况</w:t>
      </w:r>
    </w:p>
    <w:p w14:paraId="76526CB2">
      <w:pPr>
        <w:tabs>
          <w:tab w:val="left" w:pos="7513"/>
        </w:tabs>
        <w:adjustRightInd w:val="0"/>
        <w:snapToGrid w:val="0"/>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二、一般公共预算财政拨款支出预算情况</w:t>
      </w:r>
    </w:p>
    <w:p w14:paraId="0EFE3149">
      <w:pPr>
        <w:tabs>
          <w:tab w:val="left" w:pos="7513"/>
        </w:tabs>
        <w:adjustRightInd w:val="0"/>
        <w:snapToGrid w:val="0"/>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三、政府性基金预算财政拨款支出情况</w:t>
      </w:r>
    </w:p>
    <w:p w14:paraId="75FFD6D7">
      <w:pPr>
        <w:tabs>
          <w:tab w:val="left" w:pos="7513"/>
        </w:tabs>
        <w:adjustRightInd w:val="0"/>
        <w:snapToGrid w:val="0"/>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四、“三公”经费财政拨款预算情况</w:t>
      </w:r>
    </w:p>
    <w:p w14:paraId="19EB6BAA">
      <w:pPr>
        <w:tabs>
          <w:tab w:val="left" w:pos="7513"/>
        </w:tabs>
        <w:adjustRightInd w:val="0"/>
        <w:snapToGrid w:val="0"/>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五、其他重要事项的情况说明</w:t>
      </w:r>
    </w:p>
    <w:p w14:paraId="1E88EF40">
      <w:pPr>
        <w:tabs>
          <w:tab w:val="left" w:pos="7513"/>
        </w:tabs>
        <w:adjustRightInd w:val="0"/>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第三部分  名词解释</w:t>
      </w:r>
    </w:p>
    <w:p w14:paraId="3FC9BD01">
      <w:pPr>
        <w:tabs>
          <w:tab w:val="left" w:pos="7513"/>
        </w:tabs>
        <w:adjustRightInd w:val="0"/>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第四部分  2020年部门预算附表</w:t>
      </w:r>
    </w:p>
    <w:p w14:paraId="159A6ECC">
      <w:pPr>
        <w:shd w:val="clear" w:color="auto" w:fill="FFFFFF"/>
        <w:tabs>
          <w:tab w:val="left" w:pos="7513"/>
        </w:tabs>
        <w:adjustRightInd w:val="0"/>
        <w:snapToGrid w:val="0"/>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一、部门收支预算总体情况表</w:t>
      </w:r>
    </w:p>
    <w:p w14:paraId="53014186">
      <w:pPr>
        <w:shd w:val="clear" w:color="auto" w:fill="FFFFFF"/>
        <w:tabs>
          <w:tab w:val="left" w:pos="7513"/>
        </w:tabs>
        <w:adjustRightInd w:val="0"/>
        <w:snapToGrid w:val="0"/>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二、部门收入预算总体情况表</w:t>
      </w:r>
    </w:p>
    <w:p w14:paraId="28E9FDB6">
      <w:pPr>
        <w:shd w:val="clear" w:color="auto" w:fill="FFFFFF"/>
        <w:tabs>
          <w:tab w:val="left" w:pos="7513"/>
        </w:tabs>
        <w:adjustRightInd w:val="0"/>
        <w:snapToGrid w:val="0"/>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三、部门支出预算总体情况表</w:t>
      </w:r>
    </w:p>
    <w:p w14:paraId="5B47F624">
      <w:pPr>
        <w:shd w:val="clear" w:color="auto" w:fill="FFFFFF"/>
        <w:tabs>
          <w:tab w:val="left" w:pos="7513"/>
        </w:tabs>
        <w:adjustRightInd w:val="0"/>
        <w:snapToGrid w:val="0"/>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四、财政拨款收支预算总体情况表</w:t>
      </w:r>
    </w:p>
    <w:p w14:paraId="49B73CAA">
      <w:pPr>
        <w:shd w:val="clear" w:color="auto" w:fill="FFFFFF"/>
        <w:tabs>
          <w:tab w:val="left" w:pos="7513"/>
        </w:tabs>
        <w:adjustRightInd w:val="0"/>
        <w:snapToGrid w:val="0"/>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五、</w:t>
      </w:r>
      <w:r>
        <w:rPr>
          <w:rFonts w:hint="eastAsia"/>
        </w:rPr>
        <w:t xml:space="preserve"> </w:t>
      </w:r>
      <w:r>
        <w:rPr>
          <w:rFonts w:hint="eastAsia" w:ascii="仿宋_GB2312" w:hAnsi="仿宋" w:eastAsia="仿宋_GB2312" w:cs="仿宋_GB2312"/>
          <w:sz w:val="32"/>
          <w:szCs w:val="32"/>
        </w:rPr>
        <w:t>一般公共预算支出情况表</w:t>
      </w:r>
    </w:p>
    <w:p w14:paraId="3DC742EA">
      <w:pPr>
        <w:shd w:val="clear" w:color="auto" w:fill="FFFFFF"/>
        <w:tabs>
          <w:tab w:val="left" w:pos="7513"/>
        </w:tabs>
        <w:adjustRightInd w:val="0"/>
        <w:snapToGrid w:val="0"/>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六、一般公共预算基本支出情况表（经济分类款级科目）</w:t>
      </w:r>
    </w:p>
    <w:p w14:paraId="465EAA39">
      <w:pPr>
        <w:shd w:val="clear" w:color="auto" w:fill="FFFFFF"/>
        <w:tabs>
          <w:tab w:val="left" w:pos="7513"/>
        </w:tabs>
        <w:adjustRightInd w:val="0"/>
        <w:snapToGrid w:val="0"/>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七、一般公共预算“三公”经费支出情况表</w:t>
      </w:r>
    </w:p>
    <w:p w14:paraId="27BEB228">
      <w:pPr>
        <w:shd w:val="clear" w:color="auto" w:fill="FFFFFF"/>
        <w:tabs>
          <w:tab w:val="left" w:pos="7513"/>
        </w:tabs>
        <w:adjustRightInd w:val="0"/>
        <w:snapToGrid w:val="0"/>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八、政府性基金预算支出情况表</w:t>
      </w:r>
    </w:p>
    <w:p w14:paraId="75CF2799">
      <w:pPr>
        <w:shd w:val="clear" w:color="auto" w:fill="FFFFFF"/>
        <w:tabs>
          <w:tab w:val="left" w:pos="7513"/>
        </w:tabs>
        <w:adjustRightInd w:val="0"/>
        <w:snapToGrid w:val="0"/>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九、市对区转移支付支出预算表</w:t>
      </w:r>
    </w:p>
    <w:p w14:paraId="0B627B7F">
      <w:pPr>
        <w:shd w:val="clear" w:color="auto" w:fill="FFFFFF"/>
        <w:tabs>
          <w:tab w:val="left" w:pos="7513"/>
        </w:tabs>
        <w:adjustRightInd w:val="0"/>
        <w:snapToGrid w:val="0"/>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十、部门整体支出绩效目标表</w:t>
      </w:r>
    </w:p>
    <w:p w14:paraId="4CEB8230">
      <w:pPr>
        <w:shd w:val="clear" w:color="auto" w:fill="FFFFFF"/>
        <w:tabs>
          <w:tab w:val="left" w:pos="7513"/>
        </w:tabs>
        <w:adjustRightInd w:val="0"/>
        <w:snapToGrid w:val="0"/>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十一、一级项目绩效目标表</w:t>
      </w:r>
    </w:p>
    <w:p w14:paraId="6468A24E">
      <w:pPr>
        <w:shd w:val="clear" w:color="auto" w:fill="FFFFFF"/>
        <w:tabs>
          <w:tab w:val="left" w:pos="7513"/>
        </w:tabs>
        <w:adjustRightInd w:val="0"/>
        <w:snapToGrid w:val="0"/>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十二、项目支出预算压减情况表</w:t>
      </w:r>
    </w:p>
    <w:p w14:paraId="5EED44F0">
      <w:pPr>
        <w:shd w:val="clear" w:color="auto" w:fill="FFFFFF"/>
        <w:tabs>
          <w:tab w:val="left" w:pos="7513"/>
        </w:tabs>
        <w:adjustRightInd w:val="0"/>
        <w:snapToGrid w:val="0"/>
        <w:spacing w:line="580" w:lineRule="exact"/>
        <w:ind w:firstLine="640" w:firstLineChars="200"/>
        <w:rPr>
          <w:rFonts w:ascii="仿宋_GB2312" w:hAnsi="仿宋" w:eastAsia="仿宋_GB2312" w:cs="仿宋_GB2312"/>
          <w:sz w:val="32"/>
          <w:szCs w:val="32"/>
        </w:rPr>
      </w:pPr>
    </w:p>
    <w:p w14:paraId="678F6EE1">
      <w:pPr>
        <w:tabs>
          <w:tab w:val="left" w:pos="7513"/>
        </w:tabs>
        <w:adjustRightInd w:val="0"/>
        <w:snapToGrid w:val="0"/>
        <w:spacing w:line="580" w:lineRule="exact"/>
        <w:jc w:val="center"/>
        <w:rPr>
          <w:rFonts w:ascii="黑体" w:eastAsia="黑体"/>
          <w:sz w:val="32"/>
          <w:szCs w:val="32"/>
        </w:rPr>
      </w:pPr>
    </w:p>
    <w:p w14:paraId="5FF602DF">
      <w:pPr>
        <w:tabs>
          <w:tab w:val="left" w:pos="7513"/>
        </w:tabs>
        <w:adjustRightInd w:val="0"/>
        <w:snapToGrid w:val="0"/>
        <w:spacing w:line="580" w:lineRule="exact"/>
        <w:jc w:val="center"/>
        <w:rPr>
          <w:rFonts w:ascii="黑体" w:eastAsia="黑体"/>
          <w:sz w:val="32"/>
          <w:szCs w:val="32"/>
        </w:rPr>
      </w:pPr>
    </w:p>
    <w:p w14:paraId="3867224C">
      <w:pPr>
        <w:tabs>
          <w:tab w:val="left" w:pos="7513"/>
        </w:tabs>
        <w:adjustRightInd w:val="0"/>
        <w:snapToGrid w:val="0"/>
        <w:spacing w:line="580" w:lineRule="exact"/>
        <w:jc w:val="center"/>
        <w:rPr>
          <w:rFonts w:ascii="黑体" w:eastAsia="黑体"/>
          <w:sz w:val="32"/>
          <w:szCs w:val="32"/>
        </w:rPr>
      </w:pPr>
    </w:p>
    <w:p w14:paraId="0DDF91DC">
      <w:pPr>
        <w:tabs>
          <w:tab w:val="left" w:pos="7513"/>
        </w:tabs>
        <w:adjustRightInd w:val="0"/>
        <w:snapToGrid w:val="0"/>
        <w:spacing w:line="580" w:lineRule="exact"/>
        <w:jc w:val="center"/>
        <w:rPr>
          <w:rFonts w:ascii="黑体" w:eastAsia="黑体"/>
          <w:sz w:val="32"/>
          <w:szCs w:val="32"/>
        </w:rPr>
      </w:pPr>
    </w:p>
    <w:p w14:paraId="039ADA86">
      <w:pPr>
        <w:tabs>
          <w:tab w:val="left" w:pos="7513"/>
        </w:tabs>
        <w:adjustRightInd w:val="0"/>
        <w:snapToGrid w:val="0"/>
        <w:spacing w:line="580" w:lineRule="exact"/>
        <w:jc w:val="center"/>
        <w:rPr>
          <w:rFonts w:ascii="黑体" w:eastAsia="黑体"/>
          <w:sz w:val="32"/>
          <w:szCs w:val="32"/>
        </w:rPr>
      </w:pPr>
    </w:p>
    <w:p w14:paraId="028684E4">
      <w:pPr>
        <w:tabs>
          <w:tab w:val="left" w:pos="7513"/>
        </w:tabs>
        <w:adjustRightInd w:val="0"/>
        <w:snapToGrid w:val="0"/>
        <w:spacing w:line="580" w:lineRule="exact"/>
        <w:jc w:val="center"/>
        <w:rPr>
          <w:rFonts w:ascii="黑体" w:eastAsia="黑体"/>
          <w:sz w:val="32"/>
          <w:szCs w:val="32"/>
        </w:rPr>
      </w:pPr>
    </w:p>
    <w:p w14:paraId="60FF4531">
      <w:pPr>
        <w:tabs>
          <w:tab w:val="left" w:pos="7513"/>
        </w:tabs>
        <w:adjustRightInd w:val="0"/>
        <w:snapToGrid w:val="0"/>
        <w:spacing w:line="580" w:lineRule="exact"/>
        <w:jc w:val="center"/>
        <w:rPr>
          <w:rFonts w:ascii="黑体" w:eastAsia="黑体"/>
          <w:sz w:val="32"/>
          <w:szCs w:val="32"/>
        </w:rPr>
      </w:pPr>
    </w:p>
    <w:p w14:paraId="5DF7AF23">
      <w:pPr>
        <w:tabs>
          <w:tab w:val="left" w:pos="7513"/>
        </w:tabs>
        <w:adjustRightInd w:val="0"/>
        <w:snapToGrid w:val="0"/>
        <w:spacing w:line="580" w:lineRule="exact"/>
        <w:jc w:val="center"/>
        <w:rPr>
          <w:rFonts w:ascii="黑体" w:eastAsia="黑体"/>
          <w:sz w:val="32"/>
          <w:szCs w:val="32"/>
        </w:rPr>
      </w:pPr>
    </w:p>
    <w:p w14:paraId="23526E94">
      <w:pPr>
        <w:tabs>
          <w:tab w:val="left" w:pos="7513"/>
        </w:tabs>
        <w:adjustRightInd w:val="0"/>
        <w:snapToGrid w:val="0"/>
        <w:spacing w:line="580" w:lineRule="exact"/>
        <w:jc w:val="center"/>
        <w:rPr>
          <w:rFonts w:ascii="黑体" w:eastAsia="黑体"/>
          <w:sz w:val="32"/>
          <w:szCs w:val="32"/>
        </w:rPr>
      </w:pPr>
    </w:p>
    <w:p w14:paraId="4B61F3FE">
      <w:pPr>
        <w:tabs>
          <w:tab w:val="left" w:pos="7513"/>
        </w:tabs>
        <w:adjustRightInd w:val="0"/>
        <w:snapToGrid w:val="0"/>
        <w:spacing w:line="580" w:lineRule="exact"/>
        <w:jc w:val="center"/>
        <w:rPr>
          <w:rFonts w:ascii="黑体" w:eastAsia="黑体"/>
          <w:sz w:val="32"/>
          <w:szCs w:val="32"/>
        </w:rPr>
      </w:pPr>
    </w:p>
    <w:p w14:paraId="32652CE3">
      <w:pPr>
        <w:tabs>
          <w:tab w:val="left" w:pos="7513"/>
        </w:tabs>
        <w:adjustRightInd w:val="0"/>
        <w:snapToGrid w:val="0"/>
        <w:spacing w:line="580" w:lineRule="exact"/>
        <w:jc w:val="center"/>
        <w:rPr>
          <w:rFonts w:ascii="黑体" w:eastAsia="黑体"/>
          <w:sz w:val="32"/>
          <w:szCs w:val="32"/>
        </w:rPr>
      </w:pPr>
    </w:p>
    <w:p w14:paraId="157057BE">
      <w:pPr>
        <w:tabs>
          <w:tab w:val="left" w:pos="7513"/>
        </w:tabs>
        <w:adjustRightInd w:val="0"/>
        <w:snapToGrid w:val="0"/>
        <w:spacing w:line="580" w:lineRule="exact"/>
        <w:jc w:val="center"/>
        <w:rPr>
          <w:rFonts w:ascii="黑体" w:eastAsia="黑体"/>
          <w:sz w:val="32"/>
          <w:szCs w:val="32"/>
        </w:rPr>
      </w:pPr>
    </w:p>
    <w:p w14:paraId="56BF6F76">
      <w:pPr>
        <w:tabs>
          <w:tab w:val="left" w:pos="7513"/>
        </w:tabs>
        <w:adjustRightInd w:val="0"/>
        <w:snapToGrid w:val="0"/>
        <w:spacing w:line="580" w:lineRule="exact"/>
        <w:jc w:val="center"/>
        <w:rPr>
          <w:rFonts w:ascii="黑体" w:eastAsia="黑体"/>
          <w:sz w:val="32"/>
          <w:szCs w:val="32"/>
        </w:rPr>
      </w:pPr>
    </w:p>
    <w:p w14:paraId="31ACF27D">
      <w:pPr>
        <w:tabs>
          <w:tab w:val="left" w:pos="7513"/>
        </w:tabs>
        <w:adjustRightInd w:val="0"/>
        <w:snapToGrid w:val="0"/>
        <w:spacing w:line="580" w:lineRule="exact"/>
        <w:jc w:val="center"/>
        <w:rPr>
          <w:rFonts w:ascii="黑体" w:eastAsia="黑体"/>
          <w:sz w:val="32"/>
          <w:szCs w:val="32"/>
        </w:rPr>
      </w:pPr>
    </w:p>
    <w:p w14:paraId="2F8CAA71">
      <w:pPr>
        <w:tabs>
          <w:tab w:val="left" w:pos="7513"/>
        </w:tabs>
        <w:adjustRightInd w:val="0"/>
        <w:snapToGrid w:val="0"/>
        <w:spacing w:line="580" w:lineRule="exact"/>
        <w:jc w:val="center"/>
        <w:rPr>
          <w:rFonts w:ascii="黑体" w:eastAsia="黑体"/>
          <w:sz w:val="32"/>
          <w:szCs w:val="32"/>
        </w:rPr>
      </w:pPr>
    </w:p>
    <w:p w14:paraId="08B0DF61">
      <w:pPr>
        <w:tabs>
          <w:tab w:val="left" w:pos="7513"/>
        </w:tabs>
        <w:adjustRightInd w:val="0"/>
        <w:snapToGrid w:val="0"/>
        <w:spacing w:line="580" w:lineRule="exact"/>
        <w:rPr>
          <w:rFonts w:ascii="黑体" w:eastAsia="黑体"/>
          <w:sz w:val="32"/>
          <w:szCs w:val="32"/>
        </w:rPr>
      </w:pPr>
    </w:p>
    <w:p w14:paraId="0030DD5E">
      <w:pPr>
        <w:tabs>
          <w:tab w:val="left" w:pos="7513"/>
        </w:tabs>
        <w:adjustRightInd w:val="0"/>
        <w:snapToGrid w:val="0"/>
        <w:spacing w:line="580" w:lineRule="exact"/>
        <w:jc w:val="center"/>
        <w:rPr>
          <w:rFonts w:ascii="黑体" w:eastAsia="黑体"/>
          <w:sz w:val="32"/>
          <w:szCs w:val="32"/>
        </w:rPr>
      </w:pPr>
    </w:p>
    <w:p w14:paraId="45A9A801">
      <w:pPr>
        <w:tabs>
          <w:tab w:val="left" w:pos="7513"/>
        </w:tabs>
        <w:adjustRightInd w:val="0"/>
        <w:snapToGrid w:val="0"/>
        <w:spacing w:line="580" w:lineRule="exact"/>
        <w:jc w:val="center"/>
        <w:rPr>
          <w:rFonts w:ascii="黑体" w:eastAsia="黑体"/>
          <w:sz w:val="32"/>
          <w:szCs w:val="32"/>
        </w:rPr>
      </w:pPr>
    </w:p>
    <w:p w14:paraId="54E50135">
      <w:pPr>
        <w:tabs>
          <w:tab w:val="left" w:pos="7513"/>
        </w:tabs>
        <w:adjustRightInd w:val="0"/>
        <w:snapToGrid w:val="0"/>
        <w:spacing w:line="580" w:lineRule="exact"/>
        <w:rPr>
          <w:rFonts w:ascii="黑体" w:hAnsi="黑体" w:eastAsia="黑体"/>
          <w:sz w:val="32"/>
          <w:szCs w:val="32"/>
        </w:rPr>
      </w:pPr>
    </w:p>
    <w:p w14:paraId="3A9A04E4">
      <w:pPr>
        <w:tabs>
          <w:tab w:val="left" w:pos="7513"/>
        </w:tabs>
        <w:adjustRightInd w:val="0"/>
        <w:snapToGrid w:val="0"/>
        <w:spacing w:line="580" w:lineRule="exact"/>
        <w:ind w:firstLine="720" w:firstLineChars="200"/>
        <w:jc w:val="center"/>
        <w:rPr>
          <w:rFonts w:ascii="黑体" w:hAnsi="黑体" w:eastAsia="黑体"/>
          <w:sz w:val="36"/>
          <w:szCs w:val="36"/>
        </w:rPr>
      </w:pPr>
    </w:p>
    <w:p w14:paraId="7559907B">
      <w:pPr>
        <w:tabs>
          <w:tab w:val="left" w:pos="7513"/>
        </w:tabs>
        <w:adjustRightInd w:val="0"/>
        <w:snapToGrid w:val="0"/>
        <w:spacing w:line="580" w:lineRule="exact"/>
        <w:ind w:firstLine="720" w:firstLineChars="200"/>
        <w:jc w:val="center"/>
        <w:rPr>
          <w:rFonts w:ascii="黑体" w:hAnsi="黑体" w:eastAsia="黑体"/>
          <w:sz w:val="36"/>
          <w:szCs w:val="36"/>
        </w:rPr>
      </w:pPr>
      <w:r>
        <w:rPr>
          <w:rFonts w:hint="eastAsia" w:ascii="黑体" w:hAnsi="黑体" w:eastAsia="黑体"/>
          <w:sz w:val="36"/>
          <w:szCs w:val="36"/>
        </w:rPr>
        <w:t>第一部分  部门概况</w:t>
      </w:r>
    </w:p>
    <w:p w14:paraId="7F69C23B">
      <w:pPr>
        <w:tabs>
          <w:tab w:val="left" w:pos="7513"/>
        </w:tabs>
        <w:adjustRightInd w:val="0"/>
        <w:snapToGrid w:val="0"/>
        <w:spacing w:line="580" w:lineRule="exact"/>
        <w:ind w:firstLine="640" w:firstLineChars="200"/>
        <w:jc w:val="center"/>
        <w:rPr>
          <w:rFonts w:ascii="黑体" w:hAnsi="黑体" w:eastAsia="黑体"/>
          <w:sz w:val="32"/>
          <w:szCs w:val="32"/>
        </w:rPr>
      </w:pPr>
    </w:p>
    <w:p w14:paraId="14C75F37">
      <w:pPr>
        <w:tabs>
          <w:tab w:val="left" w:pos="7513"/>
        </w:tabs>
        <w:adjustRightInd w:val="0"/>
        <w:snapToGrid w:val="0"/>
        <w:spacing w:line="580" w:lineRule="exact"/>
        <w:ind w:firstLine="640" w:firstLineChars="200"/>
        <w:rPr>
          <w:rFonts w:ascii="黑体" w:hAnsi="黑体" w:eastAsia="黑体"/>
          <w:sz w:val="32"/>
          <w:szCs w:val="32"/>
        </w:rPr>
      </w:pPr>
      <w:r>
        <w:rPr>
          <w:rFonts w:hint="eastAsia" w:ascii="黑体" w:eastAsia="黑体"/>
          <w:sz w:val="32"/>
          <w:szCs w:val="32"/>
        </w:rPr>
        <w:t>一、</w:t>
      </w:r>
      <w:r>
        <w:rPr>
          <w:rFonts w:hint="eastAsia" w:ascii="黑体" w:hAnsi="黑体" w:eastAsia="黑体"/>
          <w:sz w:val="32"/>
          <w:szCs w:val="32"/>
        </w:rPr>
        <w:t>部门主要职责</w:t>
      </w:r>
    </w:p>
    <w:p w14:paraId="4B9FD1B7">
      <w:pPr>
        <w:adjustRightInd w:val="0"/>
        <w:snapToGrid w:val="0"/>
        <w:spacing w:line="58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厦门市文化和旅游局工作职责和任务：</w:t>
      </w:r>
    </w:p>
    <w:p w14:paraId="25DC0A1B">
      <w:pPr>
        <w:adjustRightInd w:val="0"/>
        <w:snapToGrid w:val="0"/>
        <w:spacing w:line="58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一）贯彻落实党的宣传文化工作方针政策，执行国家和省文化、旅游、文博、新闻出版、广播影视、网络视听节目服务管理及著作权管理的法律法规规章。起草文化、旅游、文博、新闻出版、广播影视、网络视听节目服务管理及著作权管理的地方性法规、规章和政策措施并组织实施。</w:t>
      </w:r>
    </w:p>
    <w:p w14:paraId="14A4B0CF">
      <w:pPr>
        <w:adjustRightInd w:val="0"/>
        <w:snapToGrid w:val="0"/>
        <w:spacing w:line="58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二）统筹规划文化事业、文化产业、旅游业和新闻出版业发展，拟订文化、旅游、文博、新闻出版、广播影视发展规划并组织实施，推进文化和旅游融合发展，推进相关领域体制机制改革。指导、推进全域旅游。</w:t>
      </w:r>
    </w:p>
    <w:p w14:paraId="72AEBD9E">
      <w:pPr>
        <w:adjustRightInd w:val="0"/>
        <w:snapToGrid w:val="0"/>
        <w:spacing w:line="58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三）管理全市性重大文化和旅游活动，组织全市旅游整体形象推广，促进文化产业和旅游产业对外合作、区域协作和国际市场推广，拟订文化和旅游市场开发规划并组织实施。指导、管理文化、旅游、文博、新闻出版、广播影视、著作权方面对外及对台港澳交流、合作和宣传、推广工作，承办对外、对台港澳文化和旅游交流项目相关事务。</w:t>
      </w:r>
    </w:p>
    <w:p w14:paraId="1B47378E">
      <w:pPr>
        <w:adjustRightInd w:val="0"/>
        <w:snapToGrid w:val="0"/>
        <w:spacing w:line="58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（四）指导、管理相关文化艺术事业，指导艺术创作生产，扶持体现社会主义核心价值观、弘扬闽南优秀文化、具有导向型代表性示范性的文艺作品，推动相关门类艺术和艺术品种发展。</w:t>
      </w:r>
    </w:p>
    <w:p w14:paraId="292D4B7F">
      <w:pPr>
        <w:adjustRightInd w:val="0"/>
        <w:snapToGrid w:val="0"/>
        <w:spacing w:line="58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五）负责公共文化事业发展，推进公共文化服务体系建设和旅游公共服务建设，深入实施文化惠民工程，统筹推进基本公共文化服务标准化、均等化。组织实施广播电视、电影领域公共服务重大公益工程和公益活动。指导市重点文化、旅游、广播电视设施及基层文化和旅游设施建设。</w:t>
      </w:r>
    </w:p>
    <w:p w14:paraId="048EF1F3">
      <w:pPr>
        <w:adjustRightInd w:val="0"/>
        <w:snapToGrid w:val="0"/>
        <w:spacing w:line="58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六）指导、推进文化、旅游、文博、广播电视与新媒体新技术新业态创新融合发展，贯彻执行相关行业技术标准，推进行业信息化、标准化建设。推进广电网与电信网、互联网三网融合。负责对广播电视节目传输覆盖、监测和安全播出进行监管，指导、协调、推进应急广播体系建设。</w:t>
      </w:r>
    </w:p>
    <w:p w14:paraId="2EEDE19F">
      <w:pPr>
        <w:adjustRightInd w:val="0"/>
        <w:snapToGrid w:val="0"/>
        <w:spacing w:line="58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（七）指导、协调全市文化遗产保护、管理、发掘、研究、鉴定、利用、出</w:t>
      </w:r>
      <w:r>
        <w:rPr>
          <w:rFonts w:hint="eastAsia" w:ascii="仿宋_GB2312" w:hAnsi="华文仿宋" w:eastAsia="仿宋_GB2312"/>
          <w:color w:val="000000"/>
          <w:sz w:val="32"/>
          <w:szCs w:val="32"/>
        </w:rPr>
        <w:t>境</w:t>
      </w:r>
      <w:r>
        <w:rPr>
          <w:rFonts w:hint="eastAsia" w:ascii="仿宋_GB2312" w:hAnsi="华文仿宋" w:eastAsia="仿宋_GB2312"/>
          <w:sz w:val="32"/>
          <w:szCs w:val="32"/>
        </w:rPr>
        <w:t>和宣传工作。组织文物资源资产调查，指导、管理文物和博物馆工作，履行文物行政执法督查职责。依法承担世界文化遗产的监督管理工作。</w:t>
      </w:r>
    </w:p>
    <w:p w14:paraId="2D56DFAB">
      <w:pPr>
        <w:adjustRightInd w:val="0"/>
        <w:snapToGrid w:val="0"/>
        <w:spacing w:line="58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（八）负责非物质文化遗产保护，推动非物质文化遗产的保护、传承、普及、弘扬和振兴。</w:t>
      </w:r>
    </w:p>
    <w:p w14:paraId="723F72C8">
      <w:pPr>
        <w:adjustRightInd w:val="0"/>
        <w:snapToGrid w:val="0"/>
        <w:spacing w:line="58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九）组织实施文化和旅游资源普查、挖掘、保护和利用工作，推动邮轮旅游等新业态发展，指导重点文化和旅游区域及项目的规划与开发，指导乡村旅游开发与规范工作，促进文化产业和旅游产业发展。组织、协调假日文化旅游工作。组织实施文化和旅游统计工作。</w:t>
      </w:r>
    </w:p>
    <w:p w14:paraId="7E9214DF">
      <w:pPr>
        <w:adjustRightInd w:val="0"/>
        <w:snapToGrid w:val="0"/>
        <w:spacing w:line="58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十）指导文化和旅游市场发展，对文化、文物、出版、版权、广播电视、电影、旅游市场经营进行行业监管，推进行业信用体系建设，依法规范市场。指导全市文化和旅游市场综合执法，组织、协调查处全市性、跨区域文化、出版、版权、广播电视、电影、旅游市场及文物保护相关违法行为，督查督办大案要</w:t>
      </w:r>
      <w:r>
        <w:rPr>
          <w:rFonts w:hint="eastAsia" w:ascii="仿宋_GB2312" w:hAnsi="华文仿宋" w:eastAsia="仿宋_GB2312"/>
          <w:color w:val="000000"/>
          <w:sz w:val="32"/>
          <w:szCs w:val="32"/>
        </w:rPr>
        <w:t>案</w:t>
      </w:r>
      <w:r>
        <w:rPr>
          <w:rFonts w:hint="eastAsia" w:ascii="仿宋_GB2312" w:hAnsi="华文仿宋" w:eastAsia="仿宋_GB2312"/>
          <w:sz w:val="32"/>
          <w:szCs w:val="32"/>
        </w:rPr>
        <w:t>，维护市场秩序。</w:t>
      </w:r>
    </w:p>
    <w:p w14:paraId="37A44FA9">
      <w:pPr>
        <w:adjustRightInd w:val="0"/>
        <w:snapToGrid w:val="0"/>
        <w:spacing w:line="58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（十一）依法实施行政许可，负责文化和旅游市场、文博、新闻出版、广播影视、版权行政许可事项的许可、认定、验收、审核等工作。</w:t>
      </w:r>
    </w:p>
    <w:p w14:paraId="7DFD99E1">
      <w:pPr>
        <w:adjustRightInd w:val="0"/>
        <w:snapToGrid w:val="0"/>
        <w:spacing w:line="58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十二）监督管理、审查各类出版物、广播电视节目、网络视听节目、公共视听载体播放的视听节目的内容和质量。组织实施报刊、广播电视节目评价工作。指导推动电视剧行业发展和电视剧创作生产。指导、监督广播电视广告播放。负责对全市各级各类广播电视机构进行业务指导和行业监督，会同有关部门对网络视听节目服务机构进行管理。指导监管电影发行、放映工作。</w:t>
      </w:r>
    </w:p>
    <w:p w14:paraId="34EAAB37">
      <w:pPr>
        <w:adjustRightInd w:val="0"/>
        <w:snapToGrid w:val="0"/>
        <w:spacing w:line="58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（十三）负责本系统、本领域人才队伍建设。</w:t>
      </w:r>
    </w:p>
    <w:p w14:paraId="5EAC0676">
      <w:pPr>
        <w:adjustRightInd w:val="0"/>
        <w:snapToGrid w:val="0"/>
        <w:spacing w:line="58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（十四）按有关规定承担安全生产、生态环境保护相关职责。</w:t>
      </w:r>
    </w:p>
    <w:p w14:paraId="4978BA26">
      <w:pPr>
        <w:adjustRightInd w:val="0"/>
        <w:snapToGrid w:val="0"/>
        <w:spacing w:line="58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（十五）完成市委和市政府交办的其他任务。</w:t>
      </w:r>
    </w:p>
    <w:p w14:paraId="1B22CBF7">
      <w:pPr>
        <w:adjustRightInd w:val="0"/>
        <w:snapToGrid w:val="0"/>
        <w:spacing w:line="58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（十六）负责动漫和网络游戏的市场监管以及依法对动漫、网络游戏产品内容进行审查，负责出版环节动漫作品及电影动漫节目的监管，按照网络出版服务管理有关规定对游戏出版物的网上出版发行实施监管。</w:t>
      </w:r>
    </w:p>
    <w:p w14:paraId="52F36DD7">
      <w:pPr>
        <w:tabs>
          <w:tab w:val="left" w:pos="7513"/>
        </w:tabs>
        <w:adjustRightInd w:val="0"/>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二、部门预算单位基本情况</w:t>
      </w:r>
    </w:p>
    <w:p w14:paraId="2F1E1EAB">
      <w:pPr>
        <w:tabs>
          <w:tab w:val="left" w:pos="7513"/>
        </w:tabs>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厦门市文化和旅游局现有17个机关行政处室及13个基层预算单位，其中：列入</w:t>
      </w:r>
      <w:r>
        <w:rPr>
          <w:rFonts w:hint="eastAsia" w:ascii="仿宋_GB2312" w:hAnsi="仿宋" w:eastAsia="仿宋_GB2312" w:cs="仿宋_GB2312"/>
          <w:sz w:val="32"/>
          <w:szCs w:val="32"/>
        </w:rPr>
        <w:t>2020年</w:t>
      </w:r>
      <w:r>
        <w:rPr>
          <w:rFonts w:hint="eastAsia" w:ascii="仿宋_GB2312" w:hAnsi="仿宋" w:eastAsia="仿宋_GB2312"/>
          <w:sz w:val="32"/>
          <w:szCs w:val="32"/>
        </w:rPr>
        <w:t>部门预算编制范围的单位详细情况见下表:</w:t>
      </w:r>
    </w:p>
    <w:tbl>
      <w:tblPr>
        <w:tblStyle w:val="5"/>
        <w:tblW w:w="10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3"/>
        <w:gridCol w:w="1688"/>
        <w:gridCol w:w="1856"/>
        <w:gridCol w:w="1555"/>
      </w:tblGrid>
      <w:tr w14:paraId="2F037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5383" w:type="dxa"/>
          </w:tcPr>
          <w:p w14:paraId="1476EB03">
            <w:pPr>
              <w:tabs>
                <w:tab w:val="left" w:pos="7513"/>
              </w:tabs>
              <w:adjustRightInd w:val="0"/>
              <w:snapToGrid w:val="0"/>
              <w:spacing w:line="580" w:lineRule="exact"/>
              <w:jc w:val="center"/>
              <w:rPr>
                <w:rFonts w:ascii="仿宋_GB2312" w:hAnsi="宋体" w:eastAsia="仿宋_GB2312"/>
                <w:sz w:val="32"/>
                <w:szCs w:val="32"/>
              </w:rPr>
            </w:pPr>
            <w:r>
              <w:rPr>
                <w:rFonts w:hint="eastAsia" w:ascii="仿宋_GB2312" w:hAnsi="宋体" w:eastAsia="仿宋_GB2312"/>
                <w:sz w:val="32"/>
                <w:szCs w:val="32"/>
              </w:rPr>
              <w:t>单位名称</w:t>
            </w:r>
          </w:p>
        </w:tc>
        <w:tc>
          <w:tcPr>
            <w:tcW w:w="1688" w:type="dxa"/>
          </w:tcPr>
          <w:p w14:paraId="3CBDBA29">
            <w:pPr>
              <w:tabs>
                <w:tab w:val="left" w:pos="7513"/>
              </w:tabs>
              <w:adjustRightInd w:val="0"/>
              <w:snapToGrid w:val="0"/>
              <w:spacing w:line="580" w:lineRule="exact"/>
              <w:jc w:val="center"/>
              <w:rPr>
                <w:rFonts w:ascii="仿宋_GB2312" w:hAnsi="宋体" w:eastAsia="仿宋_GB2312"/>
                <w:sz w:val="32"/>
                <w:szCs w:val="32"/>
              </w:rPr>
            </w:pPr>
            <w:r>
              <w:rPr>
                <w:rFonts w:hint="eastAsia" w:ascii="仿宋_GB2312" w:hAnsi="宋体" w:eastAsia="仿宋_GB2312"/>
                <w:sz w:val="32"/>
                <w:szCs w:val="32"/>
              </w:rPr>
              <w:t>经费性质</w:t>
            </w:r>
          </w:p>
        </w:tc>
        <w:tc>
          <w:tcPr>
            <w:tcW w:w="1856" w:type="dxa"/>
          </w:tcPr>
          <w:p w14:paraId="245023E7">
            <w:pPr>
              <w:tabs>
                <w:tab w:val="left" w:pos="7513"/>
              </w:tabs>
              <w:adjustRightInd w:val="0"/>
              <w:snapToGrid w:val="0"/>
              <w:spacing w:line="580" w:lineRule="exact"/>
              <w:jc w:val="center"/>
              <w:rPr>
                <w:rFonts w:ascii="仿宋_GB2312" w:hAnsi="宋体" w:eastAsia="仿宋_GB2312"/>
                <w:sz w:val="32"/>
                <w:szCs w:val="32"/>
              </w:rPr>
            </w:pPr>
            <w:r>
              <w:rPr>
                <w:rFonts w:hint="eastAsia" w:ascii="仿宋_GB2312" w:hAnsi="宋体" w:eastAsia="仿宋_GB2312"/>
                <w:sz w:val="32"/>
                <w:szCs w:val="32"/>
              </w:rPr>
              <w:t>人员编制数</w:t>
            </w:r>
          </w:p>
        </w:tc>
        <w:tc>
          <w:tcPr>
            <w:tcW w:w="1555" w:type="dxa"/>
          </w:tcPr>
          <w:p w14:paraId="005FC15E">
            <w:pPr>
              <w:tabs>
                <w:tab w:val="left" w:pos="7513"/>
              </w:tabs>
              <w:adjustRightInd w:val="0"/>
              <w:snapToGrid w:val="0"/>
              <w:spacing w:line="580" w:lineRule="exact"/>
              <w:jc w:val="center"/>
              <w:rPr>
                <w:rFonts w:ascii="仿宋_GB2312" w:hAnsi="宋体" w:eastAsia="仿宋_GB2312"/>
                <w:sz w:val="32"/>
                <w:szCs w:val="32"/>
              </w:rPr>
            </w:pPr>
            <w:r>
              <w:rPr>
                <w:rFonts w:hint="eastAsia" w:ascii="仿宋_GB2312" w:hAnsi="宋体" w:eastAsia="仿宋_GB2312"/>
                <w:sz w:val="32"/>
                <w:szCs w:val="32"/>
              </w:rPr>
              <w:t>在职人数</w:t>
            </w:r>
          </w:p>
        </w:tc>
      </w:tr>
      <w:tr w14:paraId="5D0EB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5383" w:type="dxa"/>
            <w:vAlign w:val="center"/>
          </w:tcPr>
          <w:p w14:paraId="6471EACE">
            <w:pPr>
              <w:widowControl/>
              <w:spacing w:line="5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厦门市文化和旅游局</w:t>
            </w:r>
          </w:p>
        </w:tc>
        <w:tc>
          <w:tcPr>
            <w:tcW w:w="1688" w:type="dxa"/>
            <w:vAlign w:val="center"/>
          </w:tcPr>
          <w:p w14:paraId="5B092BE6">
            <w:pPr>
              <w:widowControl/>
              <w:spacing w:line="5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机关</w:t>
            </w:r>
          </w:p>
        </w:tc>
        <w:tc>
          <w:tcPr>
            <w:tcW w:w="1856" w:type="dxa"/>
            <w:vAlign w:val="center"/>
          </w:tcPr>
          <w:p w14:paraId="771286B3">
            <w:pPr>
              <w:widowControl/>
              <w:spacing w:line="5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66</w:t>
            </w:r>
          </w:p>
        </w:tc>
        <w:tc>
          <w:tcPr>
            <w:tcW w:w="1555" w:type="dxa"/>
            <w:vAlign w:val="center"/>
          </w:tcPr>
          <w:p w14:paraId="2B3508CB">
            <w:pPr>
              <w:widowControl/>
              <w:spacing w:line="5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66</w:t>
            </w:r>
          </w:p>
        </w:tc>
      </w:tr>
      <w:tr w14:paraId="6634F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3" w:type="dxa"/>
            <w:vAlign w:val="center"/>
          </w:tcPr>
          <w:p w14:paraId="1E2C7542">
            <w:pPr>
              <w:widowControl/>
              <w:spacing w:line="5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厦门市少年儿童图书馆</w:t>
            </w:r>
          </w:p>
        </w:tc>
        <w:tc>
          <w:tcPr>
            <w:tcW w:w="1688" w:type="dxa"/>
            <w:vAlign w:val="center"/>
          </w:tcPr>
          <w:p w14:paraId="2E7302FE">
            <w:pPr>
              <w:widowControl/>
              <w:spacing w:line="5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全额事业</w:t>
            </w:r>
          </w:p>
        </w:tc>
        <w:tc>
          <w:tcPr>
            <w:tcW w:w="1856" w:type="dxa"/>
            <w:vAlign w:val="center"/>
          </w:tcPr>
          <w:p w14:paraId="7594C71C">
            <w:pPr>
              <w:widowControl/>
              <w:spacing w:line="5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38</w:t>
            </w:r>
          </w:p>
        </w:tc>
        <w:tc>
          <w:tcPr>
            <w:tcW w:w="1555" w:type="dxa"/>
            <w:vAlign w:val="center"/>
          </w:tcPr>
          <w:p w14:paraId="0778A63F">
            <w:pPr>
              <w:widowControl/>
              <w:spacing w:line="5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36</w:t>
            </w:r>
          </w:p>
        </w:tc>
      </w:tr>
      <w:tr w14:paraId="7A3A7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3" w:type="dxa"/>
            <w:vAlign w:val="center"/>
          </w:tcPr>
          <w:p w14:paraId="76F7E0C6">
            <w:pPr>
              <w:widowControl/>
              <w:spacing w:line="5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厦门市图书馆</w:t>
            </w:r>
          </w:p>
        </w:tc>
        <w:tc>
          <w:tcPr>
            <w:tcW w:w="1688" w:type="dxa"/>
            <w:vAlign w:val="center"/>
          </w:tcPr>
          <w:p w14:paraId="34AF6406">
            <w:pPr>
              <w:widowControl/>
              <w:spacing w:line="5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全额事业</w:t>
            </w:r>
          </w:p>
        </w:tc>
        <w:tc>
          <w:tcPr>
            <w:tcW w:w="1856" w:type="dxa"/>
            <w:vAlign w:val="center"/>
          </w:tcPr>
          <w:p w14:paraId="10602C05">
            <w:pPr>
              <w:widowControl/>
              <w:spacing w:line="5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108</w:t>
            </w:r>
          </w:p>
        </w:tc>
        <w:tc>
          <w:tcPr>
            <w:tcW w:w="1555" w:type="dxa"/>
            <w:vAlign w:val="center"/>
          </w:tcPr>
          <w:p w14:paraId="740B4CE6">
            <w:pPr>
              <w:widowControl/>
              <w:spacing w:line="5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96</w:t>
            </w:r>
          </w:p>
        </w:tc>
      </w:tr>
      <w:tr w14:paraId="3DF4C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3" w:type="dxa"/>
            <w:vAlign w:val="center"/>
          </w:tcPr>
          <w:p w14:paraId="7691BA2C">
            <w:pPr>
              <w:widowControl/>
              <w:spacing w:line="5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厦门市文化馆</w:t>
            </w:r>
          </w:p>
        </w:tc>
        <w:tc>
          <w:tcPr>
            <w:tcW w:w="1688" w:type="dxa"/>
            <w:vAlign w:val="center"/>
          </w:tcPr>
          <w:p w14:paraId="078DC8F5">
            <w:pPr>
              <w:widowControl/>
              <w:spacing w:line="5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全额事业</w:t>
            </w:r>
          </w:p>
        </w:tc>
        <w:tc>
          <w:tcPr>
            <w:tcW w:w="1856" w:type="dxa"/>
            <w:vAlign w:val="center"/>
          </w:tcPr>
          <w:p w14:paraId="2650EE9C">
            <w:pPr>
              <w:widowControl/>
              <w:spacing w:line="5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36</w:t>
            </w:r>
          </w:p>
        </w:tc>
        <w:tc>
          <w:tcPr>
            <w:tcW w:w="1555" w:type="dxa"/>
            <w:vAlign w:val="center"/>
          </w:tcPr>
          <w:p w14:paraId="3A789D0E">
            <w:pPr>
              <w:widowControl/>
              <w:spacing w:line="5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28</w:t>
            </w:r>
          </w:p>
        </w:tc>
      </w:tr>
      <w:tr w14:paraId="0A6AC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3" w:type="dxa"/>
            <w:vAlign w:val="center"/>
          </w:tcPr>
          <w:p w14:paraId="5975CF6B">
            <w:pPr>
              <w:widowControl/>
              <w:spacing w:line="5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厦门市台湾艺术研究院</w:t>
            </w:r>
          </w:p>
        </w:tc>
        <w:tc>
          <w:tcPr>
            <w:tcW w:w="1688" w:type="dxa"/>
            <w:vAlign w:val="center"/>
          </w:tcPr>
          <w:p w14:paraId="690FDC4A">
            <w:pPr>
              <w:widowControl/>
              <w:spacing w:line="5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全额事业</w:t>
            </w:r>
          </w:p>
        </w:tc>
        <w:tc>
          <w:tcPr>
            <w:tcW w:w="1856" w:type="dxa"/>
            <w:vAlign w:val="center"/>
          </w:tcPr>
          <w:p w14:paraId="65DF3533">
            <w:pPr>
              <w:widowControl/>
              <w:spacing w:line="5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w:t>
            </w:r>
          </w:p>
        </w:tc>
        <w:tc>
          <w:tcPr>
            <w:tcW w:w="1555" w:type="dxa"/>
            <w:vAlign w:val="center"/>
          </w:tcPr>
          <w:p w14:paraId="04F3CDE8">
            <w:pPr>
              <w:widowControl/>
              <w:spacing w:line="5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w:t>
            </w:r>
          </w:p>
        </w:tc>
      </w:tr>
      <w:tr w14:paraId="0379E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3" w:type="dxa"/>
            <w:vAlign w:val="center"/>
          </w:tcPr>
          <w:p w14:paraId="3AB06C71">
            <w:pPr>
              <w:widowControl/>
              <w:spacing w:line="5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厦门小白鹭民间舞艺术中心</w:t>
            </w:r>
          </w:p>
        </w:tc>
        <w:tc>
          <w:tcPr>
            <w:tcW w:w="1688" w:type="dxa"/>
            <w:vAlign w:val="center"/>
          </w:tcPr>
          <w:p w14:paraId="1CDF0425">
            <w:pPr>
              <w:widowControl/>
              <w:spacing w:line="5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全额事业</w:t>
            </w:r>
          </w:p>
        </w:tc>
        <w:tc>
          <w:tcPr>
            <w:tcW w:w="1856" w:type="dxa"/>
            <w:vAlign w:val="center"/>
          </w:tcPr>
          <w:p w14:paraId="56CBE03F">
            <w:pPr>
              <w:widowControl/>
              <w:spacing w:line="5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35</w:t>
            </w:r>
          </w:p>
        </w:tc>
        <w:tc>
          <w:tcPr>
            <w:tcW w:w="1555" w:type="dxa"/>
            <w:vAlign w:val="center"/>
          </w:tcPr>
          <w:p w14:paraId="2E5A432B">
            <w:pPr>
              <w:widowControl/>
              <w:spacing w:line="5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28</w:t>
            </w:r>
          </w:p>
        </w:tc>
      </w:tr>
      <w:tr w14:paraId="3B720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3" w:type="dxa"/>
            <w:vAlign w:val="center"/>
          </w:tcPr>
          <w:p w14:paraId="7AA7DFD0">
            <w:pPr>
              <w:widowControl/>
              <w:spacing w:line="5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厦门歌舞剧院</w:t>
            </w:r>
          </w:p>
        </w:tc>
        <w:tc>
          <w:tcPr>
            <w:tcW w:w="1688" w:type="dxa"/>
            <w:vAlign w:val="center"/>
          </w:tcPr>
          <w:p w14:paraId="1DF519B8">
            <w:pPr>
              <w:widowControl/>
              <w:spacing w:line="5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差额事业</w:t>
            </w:r>
          </w:p>
        </w:tc>
        <w:tc>
          <w:tcPr>
            <w:tcW w:w="1856" w:type="dxa"/>
            <w:vAlign w:val="center"/>
          </w:tcPr>
          <w:p w14:paraId="70553B00">
            <w:pPr>
              <w:widowControl/>
              <w:spacing w:line="5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145</w:t>
            </w:r>
          </w:p>
        </w:tc>
        <w:tc>
          <w:tcPr>
            <w:tcW w:w="1555" w:type="dxa"/>
            <w:vAlign w:val="center"/>
          </w:tcPr>
          <w:p w14:paraId="2A409A22">
            <w:pPr>
              <w:widowControl/>
              <w:spacing w:line="5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95</w:t>
            </w:r>
          </w:p>
        </w:tc>
      </w:tr>
      <w:tr w14:paraId="4EE27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3" w:type="dxa"/>
            <w:vAlign w:val="center"/>
          </w:tcPr>
          <w:p w14:paraId="183F6E8C">
            <w:pPr>
              <w:widowControl/>
              <w:spacing w:line="5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厦门歌仔戏研习中心</w:t>
            </w:r>
          </w:p>
        </w:tc>
        <w:tc>
          <w:tcPr>
            <w:tcW w:w="1688" w:type="dxa"/>
            <w:vAlign w:val="center"/>
          </w:tcPr>
          <w:p w14:paraId="458336AC">
            <w:pPr>
              <w:widowControl/>
              <w:spacing w:line="5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差额事业</w:t>
            </w:r>
          </w:p>
        </w:tc>
        <w:tc>
          <w:tcPr>
            <w:tcW w:w="1856" w:type="dxa"/>
            <w:vAlign w:val="center"/>
          </w:tcPr>
          <w:p w14:paraId="546113C8">
            <w:pPr>
              <w:widowControl/>
              <w:spacing w:line="5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65</w:t>
            </w:r>
          </w:p>
        </w:tc>
        <w:tc>
          <w:tcPr>
            <w:tcW w:w="1555" w:type="dxa"/>
            <w:vAlign w:val="center"/>
          </w:tcPr>
          <w:p w14:paraId="60EAEB66">
            <w:pPr>
              <w:widowControl/>
              <w:spacing w:line="5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64</w:t>
            </w:r>
          </w:p>
        </w:tc>
      </w:tr>
      <w:tr w14:paraId="75006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3" w:type="dxa"/>
            <w:vAlign w:val="center"/>
          </w:tcPr>
          <w:p w14:paraId="14D2A7A5">
            <w:pPr>
              <w:widowControl/>
              <w:spacing w:line="5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厦门市南乐团</w:t>
            </w:r>
          </w:p>
        </w:tc>
        <w:tc>
          <w:tcPr>
            <w:tcW w:w="1688" w:type="dxa"/>
            <w:vAlign w:val="center"/>
          </w:tcPr>
          <w:p w14:paraId="1C13AD3A">
            <w:pPr>
              <w:widowControl/>
              <w:spacing w:line="5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差额事业</w:t>
            </w:r>
          </w:p>
        </w:tc>
        <w:tc>
          <w:tcPr>
            <w:tcW w:w="1856" w:type="dxa"/>
            <w:vAlign w:val="center"/>
          </w:tcPr>
          <w:p w14:paraId="11933AE8">
            <w:pPr>
              <w:widowControl/>
              <w:spacing w:line="5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38</w:t>
            </w:r>
          </w:p>
        </w:tc>
        <w:tc>
          <w:tcPr>
            <w:tcW w:w="1555" w:type="dxa"/>
            <w:vAlign w:val="center"/>
          </w:tcPr>
          <w:p w14:paraId="3BDDC586">
            <w:pPr>
              <w:widowControl/>
              <w:spacing w:line="5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38</w:t>
            </w:r>
          </w:p>
        </w:tc>
      </w:tr>
      <w:tr w14:paraId="23167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3" w:type="dxa"/>
            <w:vAlign w:val="center"/>
          </w:tcPr>
          <w:p w14:paraId="3CD3461A">
            <w:pPr>
              <w:widowControl/>
              <w:spacing w:line="5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厦门市金莲</w:t>
            </w:r>
            <w:r>
              <w:rPr>
                <w:rFonts w:hint="eastAsia" w:ascii="宋体" w:hAnsi="宋体" w:cs="宋体"/>
                <w:kern w:val="0"/>
                <w:sz w:val="32"/>
                <w:szCs w:val="32"/>
              </w:rPr>
              <w:t>陞</w:t>
            </w:r>
            <w:r>
              <w:rPr>
                <w:rFonts w:hint="eastAsia" w:ascii="仿宋_GB2312" w:hAnsi="仿宋_GB2312" w:eastAsia="仿宋_GB2312" w:cs="仿宋_GB2312"/>
                <w:kern w:val="0"/>
                <w:sz w:val="32"/>
                <w:szCs w:val="32"/>
              </w:rPr>
              <w:t>高甲剧团</w:t>
            </w:r>
          </w:p>
        </w:tc>
        <w:tc>
          <w:tcPr>
            <w:tcW w:w="1688" w:type="dxa"/>
            <w:vAlign w:val="center"/>
          </w:tcPr>
          <w:p w14:paraId="0CDEE69A">
            <w:pPr>
              <w:widowControl/>
              <w:spacing w:line="5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差额事业</w:t>
            </w:r>
          </w:p>
        </w:tc>
        <w:tc>
          <w:tcPr>
            <w:tcW w:w="1856" w:type="dxa"/>
            <w:vAlign w:val="center"/>
          </w:tcPr>
          <w:p w14:paraId="525C8E7A">
            <w:pPr>
              <w:widowControl/>
              <w:spacing w:line="5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74</w:t>
            </w:r>
          </w:p>
        </w:tc>
        <w:tc>
          <w:tcPr>
            <w:tcW w:w="1555" w:type="dxa"/>
            <w:vAlign w:val="center"/>
          </w:tcPr>
          <w:p w14:paraId="1A2A461E">
            <w:pPr>
              <w:widowControl/>
              <w:spacing w:line="5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74</w:t>
            </w:r>
          </w:p>
        </w:tc>
      </w:tr>
      <w:tr w14:paraId="6B67A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3" w:type="dxa"/>
            <w:vAlign w:val="center"/>
          </w:tcPr>
          <w:p w14:paraId="35B755E8">
            <w:pPr>
              <w:widowControl/>
              <w:spacing w:line="5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厦门市博物馆</w:t>
            </w:r>
          </w:p>
        </w:tc>
        <w:tc>
          <w:tcPr>
            <w:tcW w:w="1688" w:type="dxa"/>
            <w:vAlign w:val="center"/>
          </w:tcPr>
          <w:p w14:paraId="4777E156">
            <w:pPr>
              <w:widowControl/>
              <w:spacing w:line="5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全额事业</w:t>
            </w:r>
          </w:p>
        </w:tc>
        <w:tc>
          <w:tcPr>
            <w:tcW w:w="1856" w:type="dxa"/>
            <w:vAlign w:val="center"/>
          </w:tcPr>
          <w:p w14:paraId="5969168C">
            <w:pPr>
              <w:widowControl/>
              <w:spacing w:line="5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68</w:t>
            </w:r>
          </w:p>
        </w:tc>
        <w:tc>
          <w:tcPr>
            <w:tcW w:w="1555" w:type="dxa"/>
            <w:vAlign w:val="center"/>
          </w:tcPr>
          <w:p w14:paraId="59AFD0DA">
            <w:pPr>
              <w:widowControl/>
              <w:spacing w:line="5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59</w:t>
            </w:r>
          </w:p>
        </w:tc>
      </w:tr>
      <w:tr w14:paraId="40B05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3" w:type="dxa"/>
            <w:vAlign w:val="center"/>
          </w:tcPr>
          <w:p w14:paraId="0EEE7179">
            <w:pPr>
              <w:widowControl/>
              <w:spacing w:line="5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厦门艺术学校</w:t>
            </w:r>
          </w:p>
        </w:tc>
        <w:tc>
          <w:tcPr>
            <w:tcW w:w="1688" w:type="dxa"/>
            <w:vAlign w:val="center"/>
          </w:tcPr>
          <w:p w14:paraId="76214060">
            <w:pPr>
              <w:widowControl/>
              <w:spacing w:line="5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全额事业</w:t>
            </w:r>
          </w:p>
        </w:tc>
        <w:tc>
          <w:tcPr>
            <w:tcW w:w="1856" w:type="dxa"/>
            <w:vAlign w:val="center"/>
          </w:tcPr>
          <w:p w14:paraId="7AE2BE6B">
            <w:pPr>
              <w:widowControl/>
              <w:spacing w:line="5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136</w:t>
            </w:r>
          </w:p>
        </w:tc>
        <w:tc>
          <w:tcPr>
            <w:tcW w:w="1555" w:type="dxa"/>
            <w:vAlign w:val="center"/>
          </w:tcPr>
          <w:p w14:paraId="37391EC8">
            <w:pPr>
              <w:widowControl/>
              <w:spacing w:line="5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70</w:t>
            </w:r>
          </w:p>
        </w:tc>
      </w:tr>
      <w:tr w14:paraId="7A54A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3" w:type="dxa"/>
            <w:vAlign w:val="center"/>
          </w:tcPr>
          <w:p w14:paraId="1328FB15">
            <w:pPr>
              <w:widowControl/>
              <w:spacing w:line="5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厦门市广播电视监测台</w:t>
            </w:r>
          </w:p>
        </w:tc>
        <w:tc>
          <w:tcPr>
            <w:tcW w:w="1688" w:type="dxa"/>
            <w:vAlign w:val="center"/>
          </w:tcPr>
          <w:p w14:paraId="625A9598">
            <w:pPr>
              <w:widowControl/>
              <w:spacing w:line="5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全额事业</w:t>
            </w:r>
          </w:p>
        </w:tc>
        <w:tc>
          <w:tcPr>
            <w:tcW w:w="1856" w:type="dxa"/>
            <w:vAlign w:val="center"/>
          </w:tcPr>
          <w:p w14:paraId="688E88C6">
            <w:pPr>
              <w:widowControl/>
              <w:spacing w:line="5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w:t>
            </w:r>
          </w:p>
        </w:tc>
        <w:tc>
          <w:tcPr>
            <w:tcW w:w="1555" w:type="dxa"/>
            <w:vAlign w:val="center"/>
          </w:tcPr>
          <w:p w14:paraId="74C1615E">
            <w:pPr>
              <w:widowControl/>
              <w:spacing w:line="5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11</w:t>
            </w:r>
          </w:p>
        </w:tc>
      </w:tr>
      <w:tr w14:paraId="7DEBE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3" w:type="dxa"/>
            <w:vAlign w:val="center"/>
          </w:tcPr>
          <w:p w14:paraId="60CD9BAA">
            <w:pPr>
              <w:widowControl/>
              <w:spacing w:line="5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厦门市文化和旅游市场综合执法支队</w:t>
            </w:r>
          </w:p>
        </w:tc>
        <w:tc>
          <w:tcPr>
            <w:tcW w:w="1688" w:type="dxa"/>
            <w:vAlign w:val="center"/>
          </w:tcPr>
          <w:p w14:paraId="46859B25">
            <w:pPr>
              <w:widowControl/>
              <w:spacing w:line="5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参公事业</w:t>
            </w:r>
          </w:p>
        </w:tc>
        <w:tc>
          <w:tcPr>
            <w:tcW w:w="1856" w:type="dxa"/>
            <w:vAlign w:val="center"/>
          </w:tcPr>
          <w:p w14:paraId="2E91D97D">
            <w:pPr>
              <w:widowControl/>
              <w:spacing w:line="5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172</w:t>
            </w:r>
          </w:p>
        </w:tc>
        <w:tc>
          <w:tcPr>
            <w:tcW w:w="1555" w:type="dxa"/>
            <w:vAlign w:val="center"/>
          </w:tcPr>
          <w:p w14:paraId="67CFCB77">
            <w:pPr>
              <w:widowControl/>
              <w:spacing w:line="5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167</w:t>
            </w:r>
          </w:p>
        </w:tc>
      </w:tr>
    </w:tbl>
    <w:p w14:paraId="2234DE91">
      <w:pPr>
        <w:tabs>
          <w:tab w:val="left" w:pos="7513"/>
        </w:tabs>
        <w:adjustRightInd w:val="0"/>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三、部门主要工作任务</w:t>
      </w:r>
    </w:p>
    <w:p w14:paraId="0ED7CECC">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厦门市文化和旅游局将坚持以习近平新时代中国特色社会主义思想为指导，全面贯彻党的十九大和十九届二中、三中、四中全会精神，坚决贯彻党的基本理论、基本路线、基本方略,增强“四个意识”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坚定“四个自信”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做到“两个维护”，贯彻落实全市经济工作会议、全市宣传部长会议精神，按照文化和旅游部、省文化和旅游厅和市委市政府的工作部署要求，围绕我市建设高素质高颜值现代化国家化城市战略目标，认真贯彻落实全市文化旅游会展产业发展大会部署要求，坚持稳中求进工作总基调，坚持新发展理念，以推进文化和旅游融合发展高质量发展为主线，聚焦“抓招商促发展”中心工作，牢牢把握满足人民群众文化和旅游美好生活需要的目标要求，牢牢守住政治底线和安全底线，牢牢抓住提供更多优秀文化产品和优质旅游产品这个中心环节，不断提升文化和旅游领域治理现代化水平，为高起点构筑新兴文化产业强市和高品位打造国际滨海花园旅游城市作出新贡献。</w:t>
      </w:r>
    </w:p>
    <w:p w14:paraId="16BABB5F">
      <w:pPr>
        <w:adjustRightInd w:val="0"/>
        <w:snapToGrid w:val="0"/>
        <w:spacing w:line="58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围绕上述任务，重点抓好以下工作：</w:t>
      </w:r>
    </w:p>
    <w:p w14:paraId="6204456F">
      <w:pPr>
        <w:adjustRightInd w:val="0"/>
        <w:snapToGrid w:val="0"/>
        <w:spacing w:line="58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（一）提高党建科学化水平。</w:t>
      </w:r>
    </w:p>
    <w:p w14:paraId="3B811E05">
      <w:pPr>
        <w:adjustRightInd w:val="0"/>
        <w:snapToGrid w:val="0"/>
        <w:spacing w:line="58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（二）加强顶层设计融合引领。</w:t>
      </w:r>
    </w:p>
    <w:p w14:paraId="18CE1D56">
      <w:pPr>
        <w:adjustRightInd w:val="0"/>
        <w:snapToGrid w:val="0"/>
        <w:spacing w:line="58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（三）推进文旅产业高质量发展。</w:t>
      </w:r>
    </w:p>
    <w:p w14:paraId="10498D51">
      <w:pPr>
        <w:adjustRightInd w:val="0"/>
        <w:snapToGrid w:val="0"/>
        <w:spacing w:line="58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（四）丰富文旅产品供给。</w:t>
      </w:r>
    </w:p>
    <w:p w14:paraId="28C32450">
      <w:pPr>
        <w:adjustRightInd w:val="0"/>
        <w:snapToGrid w:val="0"/>
        <w:spacing w:line="58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（五）推进文旅营销精准融合。</w:t>
      </w:r>
    </w:p>
    <w:p w14:paraId="420177A9">
      <w:pPr>
        <w:adjustRightInd w:val="0"/>
        <w:snapToGrid w:val="0"/>
        <w:spacing w:line="58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（六）推动文艺事业提质增效。</w:t>
      </w:r>
    </w:p>
    <w:p w14:paraId="4E6B619D">
      <w:pPr>
        <w:adjustRightInd w:val="0"/>
        <w:snapToGrid w:val="0"/>
        <w:spacing w:line="58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（七）提升文旅公共服务质效。</w:t>
      </w:r>
    </w:p>
    <w:p w14:paraId="1070629F">
      <w:pPr>
        <w:adjustRightInd w:val="0"/>
        <w:snapToGrid w:val="0"/>
        <w:spacing w:line="58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（八）扎实推进文化遗产保护利用。</w:t>
      </w:r>
    </w:p>
    <w:p w14:paraId="66193775">
      <w:pPr>
        <w:adjustRightInd w:val="0"/>
        <w:snapToGrid w:val="0"/>
        <w:spacing w:line="58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（九）规范文旅市场有序发展。</w:t>
      </w:r>
    </w:p>
    <w:p w14:paraId="2300E204">
      <w:pPr>
        <w:adjustRightInd w:val="0"/>
        <w:snapToGrid w:val="0"/>
        <w:spacing w:line="58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（十）深化对台融合发展。</w:t>
      </w:r>
    </w:p>
    <w:p w14:paraId="63425449">
      <w:pPr>
        <w:adjustRightInd w:val="0"/>
        <w:snapToGrid w:val="0"/>
        <w:spacing w:line="58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（十一）加强新闻出版广电阵地管理。</w:t>
      </w:r>
    </w:p>
    <w:p w14:paraId="11836F79">
      <w:pPr>
        <w:adjustRightInd w:val="0"/>
        <w:snapToGrid w:val="0"/>
        <w:spacing w:line="58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（十二）扎实稳妥推进改革创新。</w:t>
      </w:r>
    </w:p>
    <w:p w14:paraId="70330BAB">
      <w:pPr>
        <w:tabs>
          <w:tab w:val="left" w:pos="7513"/>
        </w:tabs>
        <w:adjustRightInd w:val="0"/>
        <w:snapToGrid w:val="0"/>
        <w:spacing w:line="580" w:lineRule="exact"/>
        <w:jc w:val="center"/>
        <w:rPr>
          <w:rFonts w:ascii="黑体" w:hAnsi="黑体" w:eastAsia="黑体"/>
          <w:sz w:val="32"/>
          <w:szCs w:val="32"/>
        </w:rPr>
      </w:pPr>
    </w:p>
    <w:p w14:paraId="3B8B693E">
      <w:pPr>
        <w:tabs>
          <w:tab w:val="left" w:pos="7513"/>
        </w:tabs>
        <w:adjustRightInd w:val="0"/>
        <w:snapToGrid w:val="0"/>
        <w:spacing w:line="580" w:lineRule="exact"/>
        <w:jc w:val="center"/>
        <w:rPr>
          <w:rFonts w:ascii="黑体" w:hAnsi="黑体" w:eastAsia="黑体"/>
          <w:sz w:val="32"/>
          <w:szCs w:val="32"/>
        </w:rPr>
      </w:pPr>
      <w:r>
        <w:rPr>
          <w:rFonts w:hint="eastAsia" w:ascii="黑体" w:hAnsi="黑体" w:eastAsia="黑体"/>
          <w:sz w:val="32"/>
          <w:szCs w:val="32"/>
        </w:rPr>
        <w:t>第二部分  2020年部门预算说明</w:t>
      </w:r>
    </w:p>
    <w:p w14:paraId="70E95599">
      <w:pPr>
        <w:tabs>
          <w:tab w:val="left" w:pos="7513"/>
        </w:tabs>
        <w:adjustRightInd w:val="0"/>
        <w:snapToGrid w:val="0"/>
        <w:spacing w:line="580" w:lineRule="exact"/>
        <w:jc w:val="center"/>
        <w:rPr>
          <w:rFonts w:ascii="仿宋_GB2312" w:hAnsi="仿宋" w:eastAsia="仿宋_GB2312" w:cs="仿宋_GB2312"/>
          <w:sz w:val="32"/>
          <w:szCs w:val="32"/>
        </w:rPr>
      </w:pPr>
    </w:p>
    <w:p w14:paraId="18ECDA73">
      <w:pPr>
        <w:tabs>
          <w:tab w:val="left" w:pos="7513"/>
        </w:tabs>
        <w:adjustRightInd w:val="0"/>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一、2020年部门预算收支总体情况</w:t>
      </w:r>
    </w:p>
    <w:p w14:paraId="00DB45A7">
      <w:pPr>
        <w:tabs>
          <w:tab w:val="left" w:pos="7513"/>
        </w:tabs>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根据预算管理的有关规定，部门的全部收入和支出均纳入部门预算管理。</w:t>
      </w:r>
    </w:p>
    <w:p w14:paraId="18BF15B6">
      <w:pPr>
        <w:tabs>
          <w:tab w:val="left" w:pos="7513"/>
        </w:tabs>
        <w:adjustRightInd w:val="0"/>
        <w:snapToGrid w:val="0"/>
        <w:spacing w:line="580" w:lineRule="exact"/>
        <w:ind w:firstLine="640" w:firstLineChars="200"/>
        <w:rPr>
          <w:rFonts w:ascii="仿宋_GB2312" w:hAnsi="仿宋" w:eastAsia="仿宋_GB2312" w:cs="仿宋_GB2312"/>
          <w:sz w:val="32"/>
          <w:szCs w:val="32"/>
        </w:rPr>
      </w:pPr>
      <w:r>
        <w:rPr>
          <w:rFonts w:hint="eastAsia" w:ascii="仿宋_GB2312" w:hAnsi="仿宋" w:eastAsia="仿宋_GB2312"/>
          <w:sz w:val="32"/>
          <w:szCs w:val="32"/>
        </w:rPr>
        <w:t>（一）</w:t>
      </w:r>
      <w:r>
        <w:rPr>
          <w:rFonts w:hint="eastAsia" w:ascii="仿宋_GB2312" w:hAnsi="仿宋" w:eastAsia="仿宋_GB2312" w:cs="仿宋_GB2312"/>
          <w:sz w:val="32"/>
          <w:szCs w:val="32"/>
        </w:rPr>
        <w:t>厦门市文化和旅游局</w:t>
      </w:r>
      <w:r>
        <w:rPr>
          <w:rFonts w:hint="eastAsia" w:ascii="仿宋_GB2312" w:hAnsi="仿宋" w:eastAsia="仿宋_GB2312"/>
          <w:sz w:val="32"/>
          <w:szCs w:val="32"/>
        </w:rPr>
        <w:t>2020年收入预算为</w:t>
      </w:r>
      <w:r>
        <w:rPr>
          <w:rFonts w:hint="eastAsia" w:ascii="仿宋_GB2312" w:hAnsi="仿宋" w:eastAsia="仿宋_GB2312" w:cs="仿宋_GB2312"/>
          <w:sz w:val="32"/>
          <w:szCs w:val="32"/>
        </w:rPr>
        <w:t>66,237.96万元，比2019年预算数增加9,623.49万元，增长17.00％，具体情况如下：</w:t>
      </w:r>
    </w:p>
    <w:p w14:paraId="5206A6A7">
      <w:pPr>
        <w:tabs>
          <w:tab w:val="left" w:pos="7513"/>
        </w:tabs>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w:t>
      </w:r>
      <w:r>
        <w:rPr>
          <w:rFonts w:hint="eastAsia" w:ascii="仿宋_GB2312" w:hAnsi="仿宋" w:eastAsia="仿宋_GB2312" w:cs="仿宋_GB2312"/>
          <w:sz w:val="32"/>
          <w:szCs w:val="32"/>
        </w:rPr>
        <w:t>财政拨款收入62,775.79万元，其中</w:t>
      </w:r>
      <w:r>
        <w:rPr>
          <w:rFonts w:hint="eastAsia" w:ascii="仿宋_GB2312" w:hAnsi="仿宋" w:eastAsia="仿宋_GB2312"/>
          <w:sz w:val="32"/>
          <w:szCs w:val="32"/>
        </w:rPr>
        <w:t>一般公共预算拨款收入</w:t>
      </w:r>
      <w:r>
        <w:rPr>
          <w:rFonts w:hint="eastAsia" w:ascii="仿宋_GB2312" w:hAnsi="仿宋" w:eastAsia="仿宋_GB2312" w:cs="仿宋_GB2312"/>
          <w:sz w:val="32"/>
          <w:szCs w:val="32"/>
        </w:rPr>
        <w:t>58,775.79</w:t>
      </w:r>
      <w:r>
        <w:rPr>
          <w:rFonts w:hint="eastAsia" w:ascii="仿宋_GB2312" w:hAnsi="仿宋" w:eastAsia="仿宋_GB2312"/>
          <w:sz w:val="32"/>
          <w:szCs w:val="32"/>
        </w:rPr>
        <w:t>万元，政府性基金拨款收入</w:t>
      </w:r>
      <w:r>
        <w:rPr>
          <w:rFonts w:hint="eastAsia" w:ascii="仿宋_GB2312" w:hAnsi="仿宋" w:eastAsia="仿宋_GB2312" w:cs="仿宋_GB2312"/>
          <w:sz w:val="32"/>
          <w:szCs w:val="32"/>
        </w:rPr>
        <w:t>4,000.00</w:t>
      </w:r>
      <w:r>
        <w:rPr>
          <w:rFonts w:hint="eastAsia" w:ascii="仿宋_GB2312" w:hAnsi="仿宋" w:eastAsia="仿宋_GB2312"/>
          <w:sz w:val="32"/>
          <w:szCs w:val="32"/>
        </w:rPr>
        <w:t>万元；</w:t>
      </w:r>
    </w:p>
    <w:p w14:paraId="7C7898D1">
      <w:pPr>
        <w:tabs>
          <w:tab w:val="left" w:pos="7513"/>
        </w:tabs>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w:t>
      </w:r>
      <w:r>
        <w:rPr>
          <w:rFonts w:hint="eastAsia"/>
        </w:rPr>
        <w:t xml:space="preserve"> </w:t>
      </w:r>
      <w:r>
        <w:rPr>
          <w:rFonts w:hint="eastAsia" w:ascii="仿宋_GB2312" w:hAnsi="仿宋" w:eastAsia="仿宋_GB2312"/>
          <w:sz w:val="32"/>
          <w:szCs w:val="32"/>
        </w:rPr>
        <w:t>财政专户管理的事业收入</w:t>
      </w:r>
      <w:r>
        <w:rPr>
          <w:rFonts w:hint="eastAsia" w:ascii="仿宋_GB2312" w:hAnsi="仿宋" w:eastAsia="仿宋_GB2312" w:cs="仿宋_GB2312"/>
          <w:sz w:val="32"/>
          <w:szCs w:val="32"/>
        </w:rPr>
        <w:t>0.00</w:t>
      </w:r>
      <w:r>
        <w:rPr>
          <w:rFonts w:hint="eastAsia" w:ascii="仿宋_GB2312" w:hAnsi="仿宋" w:eastAsia="仿宋_GB2312"/>
          <w:sz w:val="32"/>
          <w:szCs w:val="32"/>
        </w:rPr>
        <w:t>万元；</w:t>
      </w:r>
    </w:p>
    <w:p w14:paraId="1CDA373A">
      <w:pPr>
        <w:tabs>
          <w:tab w:val="left" w:pos="7513"/>
        </w:tabs>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3.</w:t>
      </w:r>
      <w:r>
        <w:rPr>
          <w:rFonts w:hint="eastAsia"/>
        </w:rPr>
        <w:t xml:space="preserve"> </w:t>
      </w:r>
      <w:r>
        <w:rPr>
          <w:rFonts w:hint="eastAsia" w:ascii="仿宋_GB2312" w:hAnsi="仿宋" w:eastAsia="仿宋_GB2312"/>
          <w:sz w:val="32"/>
          <w:szCs w:val="32"/>
        </w:rPr>
        <w:t>事业收入(含批准留用)</w:t>
      </w:r>
      <w:r>
        <w:rPr>
          <w:rFonts w:hint="eastAsia" w:ascii="仿宋_GB2312" w:hAnsi="仿宋" w:eastAsia="仿宋_GB2312" w:cs="仿宋_GB2312"/>
          <w:sz w:val="32"/>
          <w:szCs w:val="32"/>
        </w:rPr>
        <w:t xml:space="preserve"> 1,769.80</w:t>
      </w:r>
      <w:r>
        <w:rPr>
          <w:rFonts w:hint="eastAsia" w:ascii="仿宋_GB2312" w:hAnsi="仿宋" w:eastAsia="仿宋_GB2312"/>
          <w:sz w:val="32"/>
          <w:szCs w:val="32"/>
        </w:rPr>
        <w:t>万元；</w:t>
      </w:r>
    </w:p>
    <w:p w14:paraId="4D512813">
      <w:pPr>
        <w:tabs>
          <w:tab w:val="left" w:pos="7513"/>
        </w:tabs>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4.事业单位经营收入410.00万元；</w:t>
      </w:r>
    </w:p>
    <w:p w14:paraId="6F1C0B7E">
      <w:pPr>
        <w:tabs>
          <w:tab w:val="left" w:pos="7513"/>
        </w:tabs>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5.上级补助收入0.00万元；</w:t>
      </w:r>
    </w:p>
    <w:p w14:paraId="07F27F83">
      <w:pPr>
        <w:tabs>
          <w:tab w:val="left" w:pos="7513"/>
        </w:tabs>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6.</w:t>
      </w:r>
      <w:r>
        <w:rPr>
          <w:rFonts w:hint="eastAsia"/>
        </w:rPr>
        <w:t xml:space="preserve"> </w:t>
      </w:r>
      <w:r>
        <w:rPr>
          <w:rFonts w:hint="eastAsia" w:ascii="仿宋_GB2312" w:hAnsi="仿宋" w:eastAsia="仿宋_GB2312"/>
          <w:sz w:val="32"/>
          <w:szCs w:val="32"/>
        </w:rPr>
        <w:t>附属单位上缴收入0.00万元；</w:t>
      </w:r>
    </w:p>
    <w:p w14:paraId="49353E16">
      <w:pPr>
        <w:tabs>
          <w:tab w:val="left" w:pos="7513"/>
        </w:tabs>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7.历年结余472.04万元；</w:t>
      </w:r>
    </w:p>
    <w:p w14:paraId="667BED95">
      <w:pPr>
        <w:tabs>
          <w:tab w:val="left" w:pos="7513"/>
        </w:tabs>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8.其他收入225.33万元；</w:t>
      </w:r>
    </w:p>
    <w:p w14:paraId="0B5C3C22">
      <w:pPr>
        <w:tabs>
          <w:tab w:val="left" w:pos="7513"/>
        </w:tabs>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9.其他资金</w:t>
      </w:r>
      <w:r>
        <w:rPr>
          <w:rFonts w:hint="eastAsia" w:ascii="仿宋_GB2312" w:hAnsi="仿宋" w:eastAsia="仿宋_GB2312" w:cs="仿宋_GB2312"/>
          <w:sz w:val="32"/>
          <w:szCs w:val="32"/>
        </w:rPr>
        <w:t>585.00</w:t>
      </w:r>
      <w:r>
        <w:rPr>
          <w:rFonts w:hint="eastAsia" w:ascii="仿宋_GB2312" w:hAnsi="仿宋" w:eastAsia="仿宋_GB2312"/>
          <w:sz w:val="32"/>
          <w:szCs w:val="32"/>
        </w:rPr>
        <w:t>万元。</w:t>
      </w:r>
    </w:p>
    <w:p w14:paraId="6FF8484D">
      <w:pPr>
        <w:tabs>
          <w:tab w:val="left" w:pos="7513"/>
        </w:tabs>
        <w:adjustRightInd w:val="0"/>
        <w:snapToGrid w:val="0"/>
        <w:spacing w:line="580" w:lineRule="exact"/>
        <w:ind w:firstLine="640" w:firstLineChars="200"/>
        <w:rPr>
          <w:rFonts w:ascii="仿宋_GB2312" w:hAnsi="仿宋" w:eastAsia="仿宋_GB2312" w:cs="仿宋_GB2312"/>
          <w:sz w:val="32"/>
          <w:szCs w:val="32"/>
        </w:rPr>
      </w:pPr>
      <w:r>
        <w:rPr>
          <w:rFonts w:hint="eastAsia" w:ascii="仿宋_GB2312" w:hAnsi="仿宋" w:eastAsia="仿宋_GB2312"/>
          <w:sz w:val="32"/>
          <w:szCs w:val="32"/>
        </w:rPr>
        <w:t>（二）</w:t>
      </w:r>
      <w:r>
        <w:rPr>
          <w:rFonts w:hint="eastAsia" w:ascii="仿宋_GB2312" w:hAnsi="仿宋" w:eastAsia="仿宋_GB2312" w:cs="仿宋_GB2312"/>
          <w:sz w:val="32"/>
          <w:szCs w:val="32"/>
        </w:rPr>
        <w:t>厦门市文化和旅游局</w:t>
      </w:r>
      <w:r>
        <w:rPr>
          <w:rFonts w:hint="eastAsia" w:ascii="仿宋_GB2312" w:hAnsi="仿宋" w:eastAsia="仿宋_GB2312"/>
          <w:sz w:val="32"/>
          <w:szCs w:val="32"/>
        </w:rPr>
        <w:t>2020年支出预算为</w:t>
      </w:r>
      <w:r>
        <w:rPr>
          <w:rFonts w:hint="eastAsia" w:ascii="仿宋_GB2312" w:hAnsi="仿宋" w:eastAsia="仿宋_GB2312" w:cs="仿宋_GB2312"/>
          <w:sz w:val="32"/>
          <w:szCs w:val="32"/>
        </w:rPr>
        <w:t>66,237.96</w:t>
      </w:r>
      <w:r>
        <w:rPr>
          <w:rFonts w:hint="eastAsia" w:ascii="仿宋_GB2312" w:hAnsi="仿宋" w:eastAsia="仿宋_GB2312"/>
          <w:sz w:val="32"/>
          <w:szCs w:val="32"/>
        </w:rPr>
        <w:t>万元，</w:t>
      </w:r>
      <w:r>
        <w:rPr>
          <w:rFonts w:hint="eastAsia" w:ascii="仿宋_GB2312" w:hAnsi="仿宋" w:eastAsia="仿宋_GB2312" w:cs="仿宋_GB2312"/>
          <w:sz w:val="32"/>
          <w:szCs w:val="32"/>
        </w:rPr>
        <w:t>比2019年预算数增加9,623.49万元，增长17.00％，具体情况如下：</w:t>
      </w:r>
    </w:p>
    <w:p w14:paraId="4BE86130">
      <w:pPr>
        <w:tabs>
          <w:tab w:val="left" w:pos="7513"/>
        </w:tabs>
        <w:adjustRightInd w:val="0"/>
        <w:snapToGrid w:val="0"/>
        <w:spacing w:line="580" w:lineRule="exact"/>
        <w:ind w:firstLine="640" w:firstLineChars="200"/>
        <w:rPr>
          <w:rFonts w:ascii="仿宋_GB2312" w:hAnsi="仿宋" w:eastAsia="仿宋_GB2312"/>
          <w:color w:val="0000FF"/>
          <w:sz w:val="32"/>
          <w:szCs w:val="32"/>
        </w:rPr>
      </w:pPr>
      <w:r>
        <w:rPr>
          <w:rFonts w:hint="eastAsia" w:ascii="仿宋_GB2312" w:hAnsi="仿宋" w:eastAsia="仿宋_GB2312"/>
          <w:sz w:val="32"/>
          <w:szCs w:val="32"/>
        </w:rPr>
        <w:t>1.基本支出</w:t>
      </w:r>
      <w:r>
        <w:rPr>
          <w:rFonts w:hint="eastAsia" w:ascii="仿宋_GB2312" w:hAnsi="仿宋" w:eastAsia="仿宋_GB2312" w:cs="仿宋_GB2312"/>
          <w:sz w:val="32"/>
          <w:szCs w:val="32"/>
        </w:rPr>
        <w:t>30,886.92</w:t>
      </w:r>
      <w:r>
        <w:rPr>
          <w:rFonts w:hint="eastAsia" w:ascii="仿宋_GB2312" w:hAnsi="仿宋" w:eastAsia="仿宋_GB2312"/>
          <w:sz w:val="32"/>
          <w:szCs w:val="32"/>
        </w:rPr>
        <w:t>万元，其中，人员支出</w:t>
      </w:r>
      <w:r>
        <w:rPr>
          <w:rFonts w:hint="eastAsia" w:ascii="仿宋_GB2312" w:hAnsi="仿宋" w:eastAsia="仿宋_GB2312" w:cs="仿宋_GB2312"/>
          <w:sz w:val="32"/>
          <w:szCs w:val="32"/>
        </w:rPr>
        <w:t>25,329.64</w:t>
      </w:r>
      <w:r>
        <w:rPr>
          <w:rFonts w:hint="eastAsia" w:ascii="仿宋_GB2312" w:hAnsi="仿宋" w:eastAsia="仿宋_GB2312"/>
          <w:sz w:val="32"/>
          <w:szCs w:val="32"/>
        </w:rPr>
        <w:t>万元，公用支出</w:t>
      </w:r>
      <w:r>
        <w:rPr>
          <w:rFonts w:hint="eastAsia" w:ascii="仿宋_GB2312" w:hAnsi="仿宋" w:eastAsia="仿宋_GB2312" w:cs="仿宋_GB2312"/>
          <w:sz w:val="32"/>
          <w:szCs w:val="32"/>
        </w:rPr>
        <w:t>5,557.28</w:t>
      </w:r>
      <w:r>
        <w:rPr>
          <w:rFonts w:hint="eastAsia" w:ascii="仿宋_GB2312" w:hAnsi="仿宋" w:eastAsia="仿宋_GB2312"/>
          <w:sz w:val="32"/>
          <w:szCs w:val="32"/>
        </w:rPr>
        <w:t>万元</w:t>
      </w:r>
      <w:r>
        <w:rPr>
          <w:rFonts w:hint="eastAsia" w:ascii="仿宋_GB2312" w:hAnsi="仿宋" w:eastAsia="仿宋_GB2312"/>
          <w:color w:val="0000FF"/>
          <w:sz w:val="32"/>
          <w:szCs w:val="32"/>
        </w:rPr>
        <w:t>；</w:t>
      </w:r>
    </w:p>
    <w:p w14:paraId="60B7A061">
      <w:pPr>
        <w:tabs>
          <w:tab w:val="left" w:pos="7513"/>
        </w:tabs>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2.项目支出</w:t>
      </w:r>
      <w:r>
        <w:rPr>
          <w:rFonts w:hint="eastAsia" w:ascii="仿宋_GB2312" w:hAnsi="仿宋" w:eastAsia="仿宋_GB2312" w:cs="仿宋_GB2312"/>
          <w:sz w:val="32"/>
          <w:szCs w:val="32"/>
        </w:rPr>
        <w:t>34,199.04</w:t>
      </w:r>
      <w:r>
        <w:rPr>
          <w:rFonts w:hint="eastAsia" w:ascii="仿宋_GB2312" w:hAnsi="仿宋" w:eastAsia="仿宋_GB2312"/>
          <w:sz w:val="32"/>
          <w:szCs w:val="32"/>
        </w:rPr>
        <w:t>万元；</w:t>
      </w:r>
    </w:p>
    <w:p w14:paraId="3C102A1B">
      <w:pPr>
        <w:tabs>
          <w:tab w:val="left" w:pos="7513"/>
        </w:tabs>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3.事业单位经营支出</w:t>
      </w:r>
      <w:r>
        <w:rPr>
          <w:rFonts w:hint="eastAsia" w:ascii="仿宋_GB2312" w:hAnsi="仿宋" w:eastAsia="仿宋_GB2312" w:cs="仿宋_GB2312"/>
          <w:sz w:val="32"/>
          <w:szCs w:val="32"/>
        </w:rPr>
        <w:t>760.00</w:t>
      </w:r>
      <w:r>
        <w:rPr>
          <w:rFonts w:hint="eastAsia" w:ascii="仿宋_GB2312" w:hAnsi="仿宋" w:eastAsia="仿宋_GB2312"/>
          <w:sz w:val="32"/>
          <w:szCs w:val="32"/>
        </w:rPr>
        <w:t>万元；</w:t>
      </w:r>
    </w:p>
    <w:p w14:paraId="0A6ACB0E">
      <w:pPr>
        <w:tabs>
          <w:tab w:val="left" w:pos="7513"/>
        </w:tabs>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4．市对区转移支付支出392.00万元。</w:t>
      </w:r>
    </w:p>
    <w:p w14:paraId="2EF415AD">
      <w:pPr>
        <w:tabs>
          <w:tab w:val="left" w:pos="7513"/>
        </w:tabs>
        <w:adjustRightInd w:val="0"/>
        <w:snapToGrid w:val="0"/>
        <w:spacing w:line="58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二、一般公共预算财政拨款支出预算情况</w:t>
      </w:r>
    </w:p>
    <w:p w14:paraId="0F1211ED">
      <w:pPr>
        <w:pStyle w:val="4"/>
        <w:widowControl/>
        <w:shd w:val="clear" w:color="auto" w:fill="FFFFFF"/>
        <w:spacing w:before="0" w:beforeAutospacing="0" w:after="0" w:afterAutospacing="0" w:line="580" w:lineRule="exact"/>
        <w:ind w:firstLine="672"/>
        <w:jc w:val="both"/>
        <w:rPr>
          <w:rFonts w:ascii="Times" w:hAnsi="Times" w:eastAsia="楷体_GB2312"/>
          <w:kern w:val="2"/>
          <w:sz w:val="32"/>
          <w:szCs w:val="32"/>
        </w:rPr>
      </w:pPr>
      <w:r>
        <w:rPr>
          <w:rFonts w:hint="eastAsia" w:ascii="仿宋_GB2312" w:hAnsi="仿宋" w:eastAsia="仿宋_GB2312" w:cs="宋体"/>
          <w:bCs/>
          <w:sz w:val="32"/>
          <w:szCs w:val="32"/>
        </w:rPr>
        <w:t>2020年</w:t>
      </w:r>
      <w:r>
        <w:rPr>
          <w:rFonts w:hint="eastAsia" w:ascii="仿宋_GB2312" w:hAnsi="仿宋" w:eastAsia="仿宋_GB2312" w:cs="仿宋_GB2312"/>
          <w:sz w:val="32"/>
          <w:szCs w:val="32"/>
        </w:rPr>
        <w:t>度一般公共预算支出58,775.79万元，比2019年预算数增加5,132.75万元，增长9.57%，主要是因</w:t>
      </w:r>
      <w:r>
        <w:rPr>
          <w:rFonts w:hint="eastAsia" w:ascii="仿宋_GB2312" w:hAnsi="仿宋_GB2312" w:eastAsia="仿宋_GB2312" w:cs="仿宋_GB2312"/>
          <w:sz w:val="32"/>
          <w:szCs w:val="32"/>
        </w:rPr>
        <w:t>市文化和旅游市场综合执法支队</w:t>
      </w:r>
      <w:r>
        <w:rPr>
          <w:rFonts w:hint="eastAsia" w:ascii="仿宋_GB2312" w:hAnsi="仿宋" w:eastAsia="仿宋_GB2312" w:cs="仿宋_GB2312"/>
          <w:sz w:val="32"/>
          <w:szCs w:val="32"/>
        </w:rPr>
        <w:t>机构改革，其他单位人员并入，基本支出增加。另国家文物保护专项资金、促进邮轮旅游业发展扶持补贴等项目金额较上年略有增加。支出项目(按项级科目分类统计)包括：</w:t>
      </w:r>
      <w:r>
        <w:rPr>
          <w:rFonts w:hint="eastAsia" w:ascii="仿宋_GB2312" w:hAnsi="仿宋" w:eastAsia="仿宋_GB2312"/>
          <w:sz w:val="32"/>
          <w:szCs w:val="32"/>
        </w:rPr>
        <w:t xml:space="preserve"> </w:t>
      </w:r>
    </w:p>
    <w:p w14:paraId="6B41065E">
      <w:pPr>
        <w:tabs>
          <w:tab w:val="left" w:pos="7513"/>
        </w:tabs>
        <w:adjustRightInd w:val="0"/>
        <w:snapToGrid w:val="0"/>
        <w:spacing w:line="580" w:lineRule="exact"/>
        <w:ind w:firstLine="640" w:firstLineChars="200"/>
        <w:rPr>
          <w:rFonts w:ascii="仿宋_GB2312" w:eastAsia="仿宋_GB2312" w:cs="仿宋_GB2312"/>
          <w:sz w:val="32"/>
          <w:szCs w:val="32"/>
        </w:rPr>
      </w:pPr>
      <w:r>
        <w:rPr>
          <w:rFonts w:hint="eastAsia" w:ascii="仿宋_GB2312" w:hAnsi="仿宋" w:eastAsia="仿宋_GB2312" w:cs="仿宋_GB2312"/>
          <w:sz w:val="32"/>
          <w:szCs w:val="32"/>
        </w:rPr>
        <w:t>（一）</w:t>
      </w:r>
      <w:r>
        <w:rPr>
          <w:rFonts w:hint="eastAsia" w:ascii="仿宋_GB2312" w:eastAsia="仿宋_GB2312" w:cs="仿宋_GB2312"/>
          <w:sz w:val="32"/>
          <w:szCs w:val="32"/>
        </w:rPr>
        <w:t>博物馆</w:t>
      </w:r>
      <w:r>
        <w:rPr>
          <w:rFonts w:ascii="仿宋_GB2312" w:hAnsi="仿宋" w:eastAsia="仿宋_GB2312" w:cs="仿宋_GB2312"/>
          <w:sz w:val="32"/>
          <w:szCs w:val="32"/>
        </w:rPr>
        <w:t>2</w:t>
      </w:r>
      <w:r>
        <w:rPr>
          <w:rFonts w:hint="eastAsia" w:ascii="仿宋_GB2312" w:hAnsi="仿宋" w:eastAsia="仿宋_GB2312" w:cs="仿宋_GB2312"/>
          <w:sz w:val="32"/>
          <w:szCs w:val="32"/>
        </w:rPr>
        <w:t>,</w:t>
      </w:r>
      <w:r>
        <w:rPr>
          <w:rFonts w:ascii="仿宋_GB2312" w:hAnsi="仿宋" w:eastAsia="仿宋_GB2312" w:cs="仿宋_GB2312"/>
          <w:sz w:val="32"/>
          <w:szCs w:val="32"/>
        </w:rPr>
        <w:t>574</w:t>
      </w:r>
      <w:r>
        <w:rPr>
          <w:rFonts w:hint="eastAsia" w:ascii="仿宋_GB2312" w:hAnsi="仿宋" w:eastAsia="仿宋_GB2312" w:cs="仿宋_GB2312"/>
          <w:sz w:val="32"/>
          <w:szCs w:val="32"/>
        </w:rPr>
        <w:t>.00万元。</w:t>
      </w:r>
      <w:r>
        <w:rPr>
          <w:rFonts w:hint="eastAsia" w:ascii="仿宋_GB2312" w:eastAsia="仿宋_GB2312" w:cs="仿宋_GB2312"/>
          <w:sz w:val="32"/>
          <w:szCs w:val="32"/>
        </w:rPr>
        <w:t>主要用于厦门市博物馆人员支出、公用支出和事业发展。</w:t>
      </w:r>
    </w:p>
    <w:p w14:paraId="0BF72D61">
      <w:pPr>
        <w:tabs>
          <w:tab w:val="left" w:pos="7513"/>
        </w:tabs>
        <w:adjustRightInd w:val="0"/>
        <w:snapToGrid w:val="0"/>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（二）行政单位医疗201.88万元，主要用于局机关和</w:t>
      </w:r>
      <w:r>
        <w:rPr>
          <w:rFonts w:hint="eastAsia" w:ascii="仿宋_GB2312" w:hAnsi="仿宋_GB2312" w:eastAsia="仿宋_GB2312" w:cs="仿宋_GB2312"/>
          <w:kern w:val="0"/>
          <w:sz w:val="32"/>
          <w:szCs w:val="32"/>
        </w:rPr>
        <w:t>市文化和旅游市场综合执法支队</w:t>
      </w:r>
      <w:r>
        <w:rPr>
          <w:rFonts w:hint="eastAsia" w:ascii="仿宋_GB2312" w:eastAsia="仿宋_GB2312" w:cs="仿宋_GB2312"/>
          <w:sz w:val="32"/>
          <w:szCs w:val="32"/>
        </w:rPr>
        <w:t>医疗保险支出。</w:t>
      </w:r>
    </w:p>
    <w:p w14:paraId="42014C06">
      <w:pPr>
        <w:tabs>
          <w:tab w:val="left" w:pos="7513"/>
        </w:tabs>
        <w:adjustRightInd w:val="0"/>
        <w:snapToGrid w:val="0"/>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（三）行政运行8</w:t>
      </w:r>
      <w:r>
        <w:rPr>
          <w:rFonts w:hint="eastAsia" w:ascii="仿宋_GB2312" w:hAnsi="仿宋" w:eastAsia="仿宋_GB2312" w:cs="仿宋_GB2312"/>
          <w:sz w:val="32"/>
          <w:szCs w:val="32"/>
        </w:rPr>
        <w:t>,</w:t>
      </w:r>
      <w:r>
        <w:rPr>
          <w:rFonts w:hint="eastAsia" w:ascii="仿宋_GB2312" w:eastAsia="仿宋_GB2312" w:cs="仿宋_GB2312"/>
          <w:sz w:val="32"/>
          <w:szCs w:val="32"/>
        </w:rPr>
        <w:t>238.93万元，主要用于局机关和市文化市场综合执法支队人员支出和公用支出。</w:t>
      </w:r>
    </w:p>
    <w:p w14:paraId="0A2D3AEC">
      <w:pPr>
        <w:tabs>
          <w:tab w:val="left" w:pos="7513"/>
        </w:tabs>
        <w:adjustRightInd w:val="0"/>
        <w:snapToGrid w:val="0"/>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（四）机关事业单位基本养老保险缴费支出1</w:t>
      </w:r>
      <w:r>
        <w:rPr>
          <w:rFonts w:hint="eastAsia" w:ascii="仿宋_GB2312" w:hAnsi="仿宋" w:eastAsia="仿宋_GB2312" w:cs="仿宋_GB2312"/>
          <w:sz w:val="32"/>
          <w:szCs w:val="32"/>
        </w:rPr>
        <w:t>,</w:t>
      </w:r>
      <w:r>
        <w:rPr>
          <w:rFonts w:hint="eastAsia" w:ascii="仿宋_GB2312" w:eastAsia="仿宋_GB2312" w:cs="仿宋_GB2312"/>
          <w:sz w:val="32"/>
          <w:szCs w:val="32"/>
        </w:rPr>
        <w:t>099.39万元，主要用于各单位养老保险缴费支出。</w:t>
      </w:r>
    </w:p>
    <w:p w14:paraId="052FA355">
      <w:pPr>
        <w:tabs>
          <w:tab w:val="left" w:pos="7513"/>
        </w:tabs>
        <w:adjustRightInd w:val="0"/>
        <w:snapToGrid w:val="0"/>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（五）机关事业单位职业年金缴费支出172.99万元，主要用于机关事业单位职业年金缴费。</w:t>
      </w:r>
    </w:p>
    <w:p w14:paraId="24890478">
      <w:pPr>
        <w:tabs>
          <w:tab w:val="left" w:pos="7513"/>
        </w:tabs>
        <w:adjustRightInd w:val="0"/>
        <w:snapToGrid w:val="0"/>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（六）其他广播电视支出529.67万元，主要用于厦门市广播电视监测台人员支出、公用支出和事业发展。</w:t>
      </w:r>
    </w:p>
    <w:p w14:paraId="3F24FD47">
      <w:pPr>
        <w:tabs>
          <w:tab w:val="left" w:pos="7513"/>
        </w:tabs>
        <w:adjustRightInd w:val="0"/>
        <w:snapToGrid w:val="0"/>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（七）其他科技</w:t>
      </w:r>
      <w:r>
        <w:rPr>
          <w:rFonts w:hint="eastAsia" w:ascii="仿宋_GB2312" w:eastAsia="仿宋_GB2312" w:cs="仿宋_GB2312"/>
          <w:color w:val="000000"/>
          <w:sz w:val="32"/>
          <w:szCs w:val="32"/>
        </w:rPr>
        <w:t>条件</w:t>
      </w:r>
      <w:r>
        <w:rPr>
          <w:rFonts w:hint="eastAsia" w:ascii="仿宋_GB2312" w:eastAsia="仿宋_GB2312" w:cs="仿宋_GB2312"/>
          <w:sz w:val="32"/>
          <w:szCs w:val="32"/>
        </w:rPr>
        <w:t>与服务支出180.00万元，主要用于</w:t>
      </w:r>
      <w:r>
        <w:rPr>
          <w:rFonts w:hint="eastAsia" w:ascii="仿宋_GB2312" w:hAnsi="仿宋_GB2312" w:eastAsia="仿宋_GB2312" w:cs="仿宋_GB2312"/>
          <w:kern w:val="0"/>
          <w:sz w:val="32"/>
          <w:szCs w:val="32"/>
        </w:rPr>
        <w:t>市文化和旅游市场综合执法支队</w:t>
      </w:r>
      <w:r>
        <w:rPr>
          <w:rFonts w:hint="eastAsia" w:ascii="仿宋_GB2312" w:eastAsia="仿宋_GB2312" w:cs="仿宋_GB2312"/>
          <w:sz w:val="32"/>
          <w:szCs w:val="32"/>
        </w:rPr>
        <w:t>、厦门市图书馆信息化项目等。</w:t>
      </w:r>
    </w:p>
    <w:p w14:paraId="35EB3D44">
      <w:pPr>
        <w:tabs>
          <w:tab w:val="left" w:pos="7513"/>
        </w:tabs>
        <w:adjustRightInd w:val="0"/>
        <w:snapToGrid w:val="0"/>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（八）其他文化和旅游支出12</w:t>
      </w:r>
      <w:r>
        <w:rPr>
          <w:rFonts w:hint="eastAsia" w:ascii="仿宋_GB2312" w:hAnsi="仿宋" w:eastAsia="仿宋_GB2312" w:cs="仿宋_GB2312"/>
          <w:sz w:val="32"/>
          <w:szCs w:val="32"/>
        </w:rPr>
        <w:t>,</w:t>
      </w:r>
      <w:r>
        <w:rPr>
          <w:rFonts w:hint="eastAsia" w:ascii="仿宋_GB2312" w:eastAsia="仿宋_GB2312" w:cs="仿宋_GB2312"/>
          <w:sz w:val="32"/>
          <w:szCs w:val="32"/>
        </w:rPr>
        <w:t>307.00万元，主要用于旅游发展专项资金、促进邮轮旅游业发展扶持补贴项目、文化广电旅游业务费等支出。</w:t>
      </w:r>
    </w:p>
    <w:p w14:paraId="2C5356F4">
      <w:pPr>
        <w:tabs>
          <w:tab w:val="left" w:pos="7513"/>
        </w:tabs>
        <w:adjustRightInd w:val="0"/>
        <w:snapToGrid w:val="0"/>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（九）其他文化旅游体育与传媒支出180.00万元，主要用于院团的设备购置。</w:t>
      </w:r>
    </w:p>
    <w:p w14:paraId="5FD650F1">
      <w:pPr>
        <w:tabs>
          <w:tab w:val="left" w:pos="7513"/>
        </w:tabs>
        <w:adjustRightInd w:val="0"/>
        <w:snapToGrid w:val="0"/>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（十）群众文化2</w:t>
      </w:r>
      <w:r>
        <w:rPr>
          <w:rFonts w:hint="eastAsia" w:ascii="仿宋_GB2312" w:hAnsi="仿宋" w:eastAsia="仿宋_GB2312" w:cs="仿宋_GB2312"/>
          <w:sz w:val="32"/>
          <w:szCs w:val="32"/>
        </w:rPr>
        <w:t>,</w:t>
      </w:r>
      <w:r>
        <w:rPr>
          <w:rFonts w:hint="eastAsia" w:ascii="仿宋_GB2312" w:eastAsia="仿宋_GB2312" w:cs="仿宋_GB2312"/>
          <w:sz w:val="32"/>
          <w:szCs w:val="32"/>
        </w:rPr>
        <w:t>364.32万元，主要用于厦门市文化馆人员支出、公用支出和事业发展等。</w:t>
      </w:r>
    </w:p>
    <w:p w14:paraId="5561C2F7">
      <w:pPr>
        <w:tabs>
          <w:tab w:val="left" w:pos="7513"/>
        </w:tabs>
        <w:adjustRightInd w:val="0"/>
        <w:snapToGrid w:val="0"/>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（十一）事业单位离退休958.92万元，主要用于各事业单位离退休人员费用。</w:t>
      </w:r>
    </w:p>
    <w:p w14:paraId="0E9CCDDF">
      <w:pPr>
        <w:tabs>
          <w:tab w:val="left" w:pos="7513"/>
        </w:tabs>
        <w:adjustRightInd w:val="0"/>
        <w:snapToGrid w:val="0"/>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（十二）事业单位医疗370.32万元，主要用于各单位医疗保险费用。</w:t>
      </w:r>
    </w:p>
    <w:p w14:paraId="21FC1AFA">
      <w:pPr>
        <w:tabs>
          <w:tab w:val="left" w:pos="7513"/>
        </w:tabs>
        <w:adjustRightInd w:val="0"/>
        <w:snapToGrid w:val="0"/>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（十三）图书馆8</w:t>
      </w:r>
      <w:r>
        <w:rPr>
          <w:rFonts w:hint="eastAsia" w:ascii="仿宋_GB2312" w:hAnsi="仿宋" w:eastAsia="仿宋_GB2312" w:cs="仿宋_GB2312"/>
          <w:sz w:val="32"/>
          <w:szCs w:val="32"/>
        </w:rPr>
        <w:t>,</w:t>
      </w:r>
      <w:r>
        <w:rPr>
          <w:rFonts w:hint="eastAsia" w:ascii="仿宋_GB2312" w:eastAsia="仿宋_GB2312" w:cs="仿宋_GB2312"/>
          <w:sz w:val="32"/>
          <w:szCs w:val="32"/>
        </w:rPr>
        <w:t>481.77万元，主要用于厦门市少年儿童图书馆和厦门市图书馆人员支出、公用支出和事业发展。</w:t>
      </w:r>
    </w:p>
    <w:p w14:paraId="27967C5C">
      <w:pPr>
        <w:tabs>
          <w:tab w:val="left" w:pos="7513"/>
        </w:tabs>
        <w:adjustRightInd w:val="0"/>
        <w:snapToGrid w:val="0"/>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（十四）文化创作与保护1</w:t>
      </w:r>
      <w:r>
        <w:rPr>
          <w:rFonts w:hint="eastAsia" w:ascii="仿宋_GB2312" w:hAnsi="仿宋" w:eastAsia="仿宋_GB2312" w:cs="仿宋_GB2312"/>
          <w:sz w:val="32"/>
          <w:szCs w:val="32"/>
        </w:rPr>
        <w:t>,</w:t>
      </w:r>
      <w:r>
        <w:rPr>
          <w:rFonts w:hint="eastAsia" w:ascii="仿宋_GB2312" w:eastAsia="仿宋_GB2312" w:cs="仿宋_GB2312"/>
          <w:sz w:val="32"/>
          <w:szCs w:val="32"/>
        </w:rPr>
        <w:t>201.73万元，主要用于厦门市台湾艺术研究院人员支出、公用支出和事业发展，以及闽南生态保护区建设、舞台艺术剧目创作生产等。</w:t>
      </w:r>
    </w:p>
    <w:p w14:paraId="29DBF564">
      <w:pPr>
        <w:tabs>
          <w:tab w:val="left" w:pos="7513"/>
        </w:tabs>
        <w:adjustRightInd w:val="0"/>
        <w:snapToGrid w:val="0"/>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（十五）文化和旅游市场管理1</w:t>
      </w:r>
      <w:r>
        <w:rPr>
          <w:rFonts w:hint="eastAsia" w:ascii="仿宋_GB2312" w:hAnsi="仿宋" w:eastAsia="仿宋_GB2312" w:cs="仿宋_GB2312"/>
          <w:sz w:val="32"/>
          <w:szCs w:val="32"/>
        </w:rPr>
        <w:t>,</w:t>
      </w:r>
      <w:r>
        <w:rPr>
          <w:rFonts w:hint="eastAsia" w:ascii="仿宋_GB2312" w:eastAsia="仿宋_GB2312" w:cs="仿宋_GB2312"/>
          <w:sz w:val="32"/>
          <w:szCs w:val="32"/>
        </w:rPr>
        <w:t>160.00万元，主要用于文化市场管理、文博会以及商业演出奖励等。</w:t>
      </w:r>
    </w:p>
    <w:p w14:paraId="53EF07FA">
      <w:pPr>
        <w:tabs>
          <w:tab w:val="left" w:pos="7513"/>
        </w:tabs>
        <w:adjustRightInd w:val="0"/>
        <w:snapToGrid w:val="0"/>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（十六）文化活动200.00万元，主要用于举办海峡两岸民间艺术节。</w:t>
      </w:r>
    </w:p>
    <w:p w14:paraId="18CF8F57">
      <w:pPr>
        <w:tabs>
          <w:tab w:val="left" w:pos="7513"/>
        </w:tabs>
        <w:adjustRightInd w:val="0"/>
        <w:snapToGrid w:val="0"/>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（十七）文物保护3</w:t>
      </w:r>
      <w:r>
        <w:rPr>
          <w:rFonts w:hint="eastAsia" w:ascii="仿宋_GB2312" w:hAnsi="仿宋" w:eastAsia="仿宋_GB2312" w:cs="仿宋_GB2312"/>
          <w:sz w:val="32"/>
          <w:szCs w:val="32"/>
        </w:rPr>
        <w:t>,</w:t>
      </w:r>
      <w:r>
        <w:rPr>
          <w:rFonts w:hint="eastAsia" w:ascii="仿宋_GB2312" w:eastAsia="仿宋_GB2312" w:cs="仿宋_GB2312"/>
          <w:sz w:val="32"/>
          <w:szCs w:val="32"/>
        </w:rPr>
        <w:t>554.80万元，主要用于全市文物保护与维修工作等。</w:t>
      </w:r>
    </w:p>
    <w:p w14:paraId="6F515EA0">
      <w:pPr>
        <w:tabs>
          <w:tab w:val="left" w:pos="7513"/>
        </w:tabs>
        <w:adjustRightInd w:val="0"/>
        <w:snapToGrid w:val="0"/>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（十八）一般行政管理事务320.00，主要用于市</w:t>
      </w:r>
      <w:r>
        <w:rPr>
          <w:rFonts w:hint="eastAsia" w:ascii="仿宋_GB2312" w:eastAsia="仿宋_GB2312"/>
          <w:sz w:val="32"/>
          <w:szCs w:val="32"/>
        </w:rPr>
        <w:t>文化和旅游市场综合执法支队</w:t>
      </w:r>
      <w:r>
        <w:rPr>
          <w:rFonts w:hint="eastAsia" w:ascii="仿宋_GB2312" w:eastAsia="仿宋_GB2312" w:cs="仿宋_GB2312"/>
          <w:sz w:val="32"/>
          <w:szCs w:val="32"/>
        </w:rPr>
        <w:t>事业发展。</w:t>
      </w:r>
    </w:p>
    <w:p w14:paraId="65BBED60">
      <w:pPr>
        <w:spacing w:line="580" w:lineRule="exact"/>
        <w:ind w:firstLine="640" w:firstLineChars="200"/>
        <w:rPr>
          <w:rFonts w:ascii="宋体" w:hAnsi="宋体" w:cs="宋体"/>
          <w:color w:val="000000"/>
          <w:kern w:val="0"/>
          <w:sz w:val="20"/>
          <w:szCs w:val="20"/>
        </w:rPr>
      </w:pPr>
      <w:r>
        <w:rPr>
          <w:rFonts w:hint="eastAsia" w:ascii="仿宋_GB2312" w:eastAsia="仿宋_GB2312" w:cs="仿宋_GB2312"/>
          <w:sz w:val="32"/>
          <w:szCs w:val="32"/>
        </w:rPr>
        <w:t>（十九）艺术表演团体8</w:t>
      </w:r>
      <w:r>
        <w:rPr>
          <w:rFonts w:hint="eastAsia" w:ascii="仿宋_GB2312" w:hAnsi="仿宋" w:eastAsia="仿宋_GB2312" w:cs="仿宋_GB2312"/>
          <w:sz w:val="32"/>
          <w:szCs w:val="32"/>
        </w:rPr>
        <w:t>,</w:t>
      </w:r>
      <w:r>
        <w:rPr>
          <w:rFonts w:hint="eastAsia" w:ascii="仿宋_GB2312" w:eastAsia="仿宋_GB2312" w:cs="仿宋_GB2312"/>
          <w:sz w:val="32"/>
          <w:szCs w:val="32"/>
        </w:rPr>
        <w:t>027.89万元，主要用于厦门小白鹭民间舞艺术中心、厦门歌舞剧院、厦门歌仔戏研习中心、厦门市南乐团、厦门市金莲升高甲剧团人员支出、公用支出和事业发展。</w:t>
      </w:r>
    </w:p>
    <w:p w14:paraId="736F37D0">
      <w:pPr>
        <w:spacing w:line="580" w:lineRule="exact"/>
        <w:ind w:firstLine="640" w:firstLineChars="200"/>
        <w:rPr>
          <w:rFonts w:ascii="宋体" w:hAnsi="宋体" w:cs="宋体"/>
          <w:color w:val="000000"/>
          <w:kern w:val="0"/>
          <w:sz w:val="20"/>
          <w:szCs w:val="20"/>
        </w:rPr>
      </w:pPr>
      <w:r>
        <w:rPr>
          <w:rFonts w:hint="eastAsia" w:ascii="仿宋_GB2312" w:eastAsia="仿宋_GB2312" w:cs="仿宋_GB2312"/>
          <w:sz w:val="32"/>
          <w:szCs w:val="32"/>
        </w:rPr>
        <w:t>（二十）中等职业教育2</w:t>
      </w:r>
      <w:r>
        <w:rPr>
          <w:rFonts w:hint="eastAsia" w:ascii="仿宋_GB2312" w:hAnsi="仿宋" w:eastAsia="仿宋_GB2312" w:cs="仿宋_GB2312"/>
          <w:sz w:val="32"/>
          <w:szCs w:val="32"/>
        </w:rPr>
        <w:t>,</w:t>
      </w:r>
      <w:r>
        <w:rPr>
          <w:rFonts w:hint="eastAsia" w:ascii="仿宋_GB2312" w:eastAsia="仿宋_GB2312" w:cs="仿宋_GB2312"/>
          <w:sz w:val="32"/>
          <w:szCs w:val="32"/>
        </w:rPr>
        <w:t>894.16万元，</w:t>
      </w:r>
      <w:r>
        <w:rPr>
          <w:rFonts w:hint="eastAsia" w:ascii="仿宋_GB2312" w:eastAsia="仿宋_GB2312" w:cs="仿宋_GB2312"/>
          <w:bCs/>
          <w:sz w:val="32"/>
          <w:szCs w:val="32"/>
        </w:rPr>
        <w:t>主要用</w:t>
      </w:r>
      <w:r>
        <w:rPr>
          <w:rFonts w:hint="eastAsia" w:ascii="仿宋_GB2312" w:eastAsia="仿宋_GB2312" w:cs="仿宋_GB2312"/>
          <w:sz w:val="32"/>
          <w:szCs w:val="32"/>
        </w:rPr>
        <w:t>于厦门艺术学校人员支出、公用支出和事业发展。</w:t>
      </w:r>
    </w:p>
    <w:p w14:paraId="725420BF">
      <w:pPr>
        <w:tabs>
          <w:tab w:val="left" w:pos="7513"/>
        </w:tabs>
        <w:adjustRightInd w:val="0"/>
        <w:snapToGrid w:val="0"/>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（二十一）公务员医疗补助88.27万元。主要用于</w:t>
      </w:r>
      <w:r>
        <w:rPr>
          <w:rFonts w:hint="eastAsia" w:ascii="仿宋_GB2312" w:eastAsia="仿宋_GB2312" w:cs="仿宋_GB2312"/>
          <w:sz w:val="32"/>
          <w:szCs w:val="32"/>
        </w:rPr>
        <w:t>局机关、</w:t>
      </w:r>
      <w:r>
        <w:rPr>
          <w:rFonts w:hint="eastAsia" w:ascii="仿宋_GB2312" w:hAnsi="仿宋_GB2312" w:eastAsia="仿宋_GB2312" w:cs="仿宋_GB2312"/>
          <w:kern w:val="0"/>
          <w:sz w:val="32"/>
          <w:szCs w:val="32"/>
        </w:rPr>
        <w:t>市文化和旅游市场综合执法支队</w:t>
      </w:r>
      <w:r>
        <w:rPr>
          <w:rFonts w:hint="eastAsia" w:ascii="仿宋_GB2312" w:eastAsia="仿宋_GB2312" w:cs="仿宋_GB2312"/>
          <w:sz w:val="32"/>
          <w:szCs w:val="32"/>
        </w:rPr>
        <w:t>医疗补助费用</w:t>
      </w:r>
      <w:r>
        <w:rPr>
          <w:rFonts w:hint="eastAsia" w:ascii="仿宋_GB2312" w:hAnsi="仿宋" w:eastAsia="仿宋_GB2312" w:cs="仿宋_GB2312"/>
          <w:sz w:val="32"/>
          <w:szCs w:val="32"/>
        </w:rPr>
        <w:t>支出。</w:t>
      </w:r>
    </w:p>
    <w:p w14:paraId="13EA261F">
      <w:pPr>
        <w:tabs>
          <w:tab w:val="left" w:pos="7513"/>
        </w:tabs>
        <w:adjustRightInd w:val="0"/>
        <w:snapToGrid w:val="0"/>
        <w:spacing w:line="580" w:lineRule="exact"/>
        <w:ind w:left="105" w:leftChars="50" w:firstLine="480" w:firstLineChars="150"/>
        <w:rPr>
          <w:rFonts w:ascii="仿宋_GB2312" w:hAnsi="仿宋" w:eastAsia="仿宋_GB2312" w:cs="仿宋_GB2312"/>
          <w:sz w:val="32"/>
          <w:szCs w:val="32"/>
        </w:rPr>
      </w:pPr>
      <w:r>
        <w:rPr>
          <w:rFonts w:hint="eastAsia" w:ascii="仿宋_GB2312" w:hAnsi="仿宋" w:eastAsia="仿宋_GB2312" w:cs="仿宋_GB2312"/>
          <w:sz w:val="32"/>
          <w:szCs w:val="32"/>
        </w:rPr>
        <w:t>（二十二）行政单位离退休727.75万元。主要用于</w:t>
      </w:r>
      <w:r>
        <w:rPr>
          <w:rFonts w:hint="eastAsia" w:ascii="仿宋_GB2312" w:eastAsia="仿宋_GB2312" w:cs="仿宋_GB2312"/>
          <w:sz w:val="32"/>
          <w:szCs w:val="32"/>
        </w:rPr>
        <w:t>局机关、</w:t>
      </w:r>
      <w:r>
        <w:rPr>
          <w:rFonts w:hint="eastAsia" w:ascii="仿宋_GB2312" w:hAnsi="仿宋_GB2312" w:eastAsia="仿宋_GB2312" w:cs="仿宋_GB2312"/>
          <w:kern w:val="0"/>
          <w:sz w:val="32"/>
          <w:szCs w:val="32"/>
        </w:rPr>
        <w:t>市文化和旅游市场综合执法支队</w:t>
      </w:r>
      <w:r>
        <w:rPr>
          <w:rFonts w:hint="eastAsia" w:ascii="仿宋_GB2312" w:eastAsia="仿宋_GB2312" w:cs="仿宋_GB2312"/>
          <w:sz w:val="32"/>
          <w:szCs w:val="32"/>
        </w:rPr>
        <w:t>退休人员费用</w:t>
      </w:r>
      <w:r>
        <w:rPr>
          <w:rFonts w:hint="eastAsia" w:ascii="仿宋_GB2312" w:hAnsi="仿宋" w:eastAsia="仿宋_GB2312" w:cs="仿宋_GB2312"/>
          <w:sz w:val="32"/>
          <w:szCs w:val="32"/>
        </w:rPr>
        <w:t>支出。</w:t>
      </w:r>
    </w:p>
    <w:p w14:paraId="65D8E52D">
      <w:pPr>
        <w:tabs>
          <w:tab w:val="left" w:pos="7513"/>
        </w:tabs>
        <w:adjustRightInd w:val="0"/>
        <w:snapToGrid w:val="0"/>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（二十三）艺术表演场所2</w:t>
      </w:r>
      <w:r>
        <w:rPr>
          <w:rFonts w:hint="eastAsia" w:ascii="仿宋_GB2312" w:hAnsi="仿宋" w:eastAsia="仿宋_GB2312" w:cs="仿宋_GB2312"/>
          <w:sz w:val="32"/>
          <w:szCs w:val="32"/>
        </w:rPr>
        <w:t>,</w:t>
      </w:r>
      <w:r>
        <w:rPr>
          <w:rFonts w:hint="eastAsia" w:ascii="仿宋_GB2312" w:eastAsia="仿宋_GB2312" w:cs="仿宋_GB2312"/>
          <w:sz w:val="32"/>
          <w:szCs w:val="32"/>
        </w:rPr>
        <w:t>550.00万元，主要用于剧场的日常运行维护及演出补贴。</w:t>
      </w:r>
    </w:p>
    <w:p w14:paraId="4BC2C138">
      <w:pPr>
        <w:tabs>
          <w:tab w:val="left" w:pos="7513"/>
        </w:tabs>
        <w:adjustRightInd w:val="0"/>
        <w:snapToGrid w:val="0"/>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（二十四）市对区转移支付支出392.00万元，主要是国家、省对区级文化项目的补助。</w:t>
      </w:r>
    </w:p>
    <w:p w14:paraId="463FFAB7">
      <w:pPr>
        <w:tabs>
          <w:tab w:val="left" w:pos="7513"/>
        </w:tabs>
        <w:adjustRightInd w:val="0"/>
        <w:snapToGrid w:val="0"/>
        <w:spacing w:line="58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三、政府性基金预算</w:t>
      </w:r>
      <w:r>
        <w:rPr>
          <w:rFonts w:hint="eastAsia" w:ascii="黑体" w:hAnsi="黑体" w:eastAsia="黑体" w:cs="仿宋_GB2312"/>
          <w:bCs/>
          <w:sz w:val="32"/>
          <w:szCs w:val="32"/>
        </w:rPr>
        <w:t>财政拨款</w:t>
      </w:r>
      <w:r>
        <w:rPr>
          <w:rFonts w:hint="eastAsia" w:ascii="黑体" w:hAnsi="黑体" w:eastAsia="黑体" w:cs="仿宋_GB2312"/>
          <w:sz w:val="32"/>
          <w:szCs w:val="32"/>
        </w:rPr>
        <w:t>支出情况</w:t>
      </w:r>
    </w:p>
    <w:p w14:paraId="15DC03D2">
      <w:pPr>
        <w:tabs>
          <w:tab w:val="left" w:pos="7513"/>
        </w:tabs>
        <w:adjustRightInd w:val="0"/>
        <w:snapToGrid w:val="0"/>
        <w:spacing w:line="580" w:lineRule="exact"/>
        <w:ind w:firstLine="640" w:firstLineChars="200"/>
        <w:rPr>
          <w:rFonts w:ascii="仿宋_GB2312" w:hAnsi="仿宋" w:eastAsia="仿宋_GB2312" w:cs="仿宋_GB2312"/>
          <w:color w:val="0000FF"/>
          <w:sz w:val="32"/>
          <w:szCs w:val="32"/>
        </w:rPr>
      </w:pPr>
      <w:r>
        <w:rPr>
          <w:rFonts w:hint="eastAsia" w:ascii="仿宋_GB2312" w:hAnsi="仿宋" w:eastAsia="仿宋_GB2312" w:cs="仿宋_GB2312"/>
          <w:sz w:val="32"/>
          <w:szCs w:val="32"/>
        </w:rPr>
        <w:t>2020年度政府性基金支出4,000.00万元，比2019年预算数增加4,000.00万元，增长100.00%，主要是由于新增厦门艺术学校四期工程基建项目。支出项目（按项级科目分类统计）</w:t>
      </w:r>
      <w:r>
        <w:rPr>
          <w:rFonts w:hint="eastAsia" w:ascii="仿宋_GB2312" w:hAnsi="仿宋" w:eastAsia="仿宋_GB2312" w:cs="仿宋_GB2312"/>
          <w:color w:val="0000FF"/>
          <w:sz w:val="32"/>
          <w:szCs w:val="32"/>
        </w:rPr>
        <w:t>：</w:t>
      </w:r>
    </w:p>
    <w:p w14:paraId="7516239E">
      <w:pPr>
        <w:tabs>
          <w:tab w:val="left" w:pos="7513"/>
        </w:tabs>
        <w:adjustRightInd w:val="0"/>
        <w:snapToGrid w:val="0"/>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城市建设支出4,000.00万元。主要用于厦门艺术学校四期工程基建项目支出。</w:t>
      </w:r>
    </w:p>
    <w:p w14:paraId="2CAEDF00">
      <w:pPr>
        <w:tabs>
          <w:tab w:val="left" w:pos="7513"/>
        </w:tabs>
        <w:adjustRightInd w:val="0"/>
        <w:snapToGrid w:val="0"/>
        <w:spacing w:line="58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四、“三公”经费财政拨款预算情况</w:t>
      </w:r>
    </w:p>
    <w:p w14:paraId="690B3689">
      <w:pPr>
        <w:tabs>
          <w:tab w:val="left" w:pos="7513"/>
        </w:tabs>
        <w:adjustRightInd w:val="0"/>
        <w:snapToGrid w:val="0"/>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kern w:val="0"/>
          <w:sz w:val="32"/>
          <w:szCs w:val="32"/>
        </w:rPr>
        <w:t>厦门市文化和旅游局2020年</w:t>
      </w:r>
      <w:r>
        <w:rPr>
          <w:rFonts w:hint="eastAsia" w:ascii="仿宋_GB2312" w:hAnsi="仿宋" w:eastAsia="仿宋_GB2312" w:cs="宋体"/>
          <w:kern w:val="0"/>
          <w:sz w:val="32"/>
          <w:szCs w:val="32"/>
        </w:rPr>
        <w:t>“三公”经费财政拨款预算数为</w:t>
      </w:r>
      <w:r>
        <w:rPr>
          <w:rFonts w:hint="eastAsia" w:ascii="仿宋_GB2312" w:hAnsi="仿宋" w:eastAsia="仿宋_GB2312" w:cs="仿宋_GB2312"/>
          <w:kern w:val="0"/>
          <w:sz w:val="32"/>
          <w:szCs w:val="32"/>
        </w:rPr>
        <w:t>112.67</w:t>
      </w:r>
      <w:r>
        <w:rPr>
          <w:rFonts w:hint="eastAsia" w:ascii="仿宋_GB2312" w:hAnsi="仿宋" w:eastAsia="仿宋_GB2312" w:cs="宋体"/>
          <w:kern w:val="0"/>
          <w:sz w:val="32"/>
          <w:szCs w:val="32"/>
        </w:rPr>
        <w:t>万元，其中</w:t>
      </w:r>
      <w:r>
        <w:rPr>
          <w:rFonts w:hint="eastAsia" w:ascii="仿宋_GB2312" w:hAnsi="仿宋" w:eastAsia="仿宋_GB2312" w:cs="仿宋_GB2312"/>
          <w:sz w:val="32"/>
          <w:szCs w:val="32"/>
        </w:rPr>
        <w:t>：因公出国（境）经费59.59万元，公务接待费18.58万元，公务用车购置及运行费34.50万元。具体情况如下：</w:t>
      </w:r>
    </w:p>
    <w:p w14:paraId="5C5301E9">
      <w:pPr>
        <w:tabs>
          <w:tab w:val="left" w:pos="7513"/>
        </w:tabs>
        <w:adjustRightInd w:val="0"/>
        <w:snapToGrid w:val="0"/>
        <w:spacing w:line="580" w:lineRule="exact"/>
        <w:ind w:firstLine="640" w:firstLineChars="200"/>
        <w:rPr>
          <w:rFonts w:ascii="仿宋_GB2312" w:hAnsi="仿宋" w:eastAsia="仿宋_GB2312" w:cs="仿宋_GB2312"/>
          <w:sz w:val="32"/>
          <w:szCs w:val="32"/>
        </w:rPr>
      </w:pPr>
      <w:r>
        <w:rPr>
          <w:rFonts w:hint="eastAsia" w:ascii="楷体_GB2312" w:hAnsi="仿宋" w:eastAsia="楷体_GB2312" w:cs="仿宋_GB2312"/>
          <w:sz w:val="32"/>
          <w:szCs w:val="32"/>
        </w:rPr>
        <w:t>（一）因公出国（境）经费</w:t>
      </w:r>
    </w:p>
    <w:p w14:paraId="150EAFD4">
      <w:pPr>
        <w:tabs>
          <w:tab w:val="left" w:pos="7513"/>
        </w:tabs>
        <w:adjustRightInd w:val="0"/>
        <w:snapToGrid w:val="0"/>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2020年预算安排59.59万元。主要用于境外旅游会展推介促销</w:t>
      </w:r>
      <w:r>
        <w:rPr>
          <w:rFonts w:hint="eastAsia" w:ascii="仿宋_GB2312" w:hAnsi="仿宋" w:eastAsia="仿宋_GB2312" w:cs="宋体"/>
          <w:kern w:val="0"/>
          <w:sz w:val="32"/>
          <w:szCs w:val="32"/>
        </w:rPr>
        <w:t>，</w:t>
      </w:r>
      <w:r>
        <w:rPr>
          <w:rFonts w:hint="eastAsia" w:ascii="仿宋_GB2312" w:hAnsi="仿宋" w:eastAsia="仿宋_GB2312" w:cs="仿宋_GB2312"/>
          <w:sz w:val="32"/>
          <w:szCs w:val="32"/>
        </w:rPr>
        <w:t>与</w:t>
      </w:r>
      <w:r>
        <w:rPr>
          <w:rFonts w:hint="eastAsia" w:ascii="仿宋_GB2312" w:hAnsi="仿宋" w:eastAsia="仿宋_GB2312" w:cs="宋体"/>
          <w:bCs/>
          <w:sz w:val="32"/>
          <w:szCs w:val="32"/>
        </w:rPr>
        <w:t>上</w:t>
      </w:r>
      <w:r>
        <w:rPr>
          <w:rFonts w:hint="eastAsia" w:ascii="仿宋_GB2312" w:hAnsi="仿宋" w:eastAsia="仿宋_GB2312" w:cs="仿宋_GB2312"/>
          <w:sz w:val="32"/>
          <w:szCs w:val="32"/>
        </w:rPr>
        <w:t>年预算相比下降16.07%，主要原因是:减少出国推介活动。</w:t>
      </w:r>
    </w:p>
    <w:p w14:paraId="1B5B6CDF">
      <w:pPr>
        <w:tabs>
          <w:tab w:val="left" w:pos="7513"/>
        </w:tabs>
        <w:adjustRightInd w:val="0"/>
        <w:snapToGrid w:val="0"/>
        <w:spacing w:line="580" w:lineRule="exact"/>
        <w:ind w:firstLine="640" w:firstLineChars="200"/>
        <w:rPr>
          <w:rFonts w:ascii="楷体_GB2312" w:hAnsi="仿宋" w:eastAsia="楷体_GB2312" w:cs="仿宋_GB2312"/>
          <w:sz w:val="32"/>
          <w:szCs w:val="32"/>
        </w:rPr>
      </w:pPr>
      <w:r>
        <w:rPr>
          <w:rFonts w:hint="eastAsia" w:ascii="楷体_GB2312" w:hAnsi="仿宋" w:eastAsia="楷体_GB2312" w:cs="仿宋_GB2312"/>
          <w:sz w:val="32"/>
          <w:szCs w:val="32"/>
        </w:rPr>
        <w:t>（二）公务接待费</w:t>
      </w:r>
    </w:p>
    <w:p w14:paraId="0C3B7AE9">
      <w:pPr>
        <w:tabs>
          <w:tab w:val="left" w:pos="7513"/>
        </w:tabs>
        <w:adjustRightInd w:val="0"/>
        <w:snapToGrid w:val="0"/>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宋体"/>
          <w:kern w:val="0"/>
          <w:sz w:val="32"/>
          <w:szCs w:val="32"/>
        </w:rPr>
        <w:t>2020年预算安排18.58万元。</w:t>
      </w:r>
      <w:r>
        <w:rPr>
          <w:rFonts w:hint="eastAsia" w:ascii="仿宋_GB2312" w:eastAsia="仿宋_GB2312" w:cs="宋体"/>
          <w:kern w:val="0"/>
          <w:sz w:val="32"/>
          <w:szCs w:val="32"/>
        </w:rPr>
        <w:t>主要用于文化艺术、文化交流与合作、文化创作与保护、广播影视、新闻出版、区域旅游协作等方面的接待活动</w:t>
      </w:r>
      <w:r>
        <w:rPr>
          <w:rFonts w:hint="eastAsia" w:ascii="仿宋_GB2312" w:hAnsi="仿宋" w:eastAsia="仿宋_GB2312" w:cs="宋体"/>
          <w:kern w:val="0"/>
          <w:sz w:val="32"/>
          <w:szCs w:val="32"/>
        </w:rPr>
        <w:t>。与上年预算</w:t>
      </w:r>
      <w:r>
        <w:rPr>
          <w:rFonts w:hint="eastAsia" w:ascii="仿宋_GB2312" w:hAnsi="仿宋" w:eastAsia="仿宋_GB2312" w:cs="仿宋_GB2312"/>
          <w:sz w:val="32"/>
          <w:szCs w:val="32"/>
        </w:rPr>
        <w:t>相比下降</w:t>
      </w:r>
      <w:r>
        <w:rPr>
          <w:rFonts w:hint="eastAsia" w:ascii="仿宋_GB2312" w:hAnsi="仿宋" w:eastAsia="仿宋_GB2312" w:cs="仿宋_GB2312"/>
          <w:kern w:val="0"/>
          <w:sz w:val="32"/>
          <w:szCs w:val="32"/>
        </w:rPr>
        <w:t>37.18</w:t>
      </w:r>
      <w:r>
        <w:rPr>
          <w:rFonts w:hint="eastAsia" w:ascii="仿宋_GB2312" w:hAnsi="仿宋" w:eastAsia="仿宋_GB2312" w:cs="仿宋_GB2312"/>
          <w:sz w:val="32"/>
          <w:szCs w:val="32"/>
        </w:rPr>
        <w:t>%，主要原因是:</w:t>
      </w:r>
      <w:r>
        <w:rPr>
          <w:rFonts w:hint="eastAsia" w:ascii="仿宋_GB2312" w:eastAsia="仿宋_GB2312" w:cs="宋体"/>
          <w:kern w:val="0"/>
          <w:sz w:val="32"/>
          <w:szCs w:val="32"/>
        </w:rPr>
        <w:t xml:space="preserve"> 坚持</w:t>
      </w:r>
      <w:r>
        <w:rPr>
          <w:rFonts w:hint="eastAsia" w:ascii="仿宋_GB2312" w:eastAsia="仿宋_GB2312" w:cs="宋体"/>
          <w:kern w:val="0"/>
          <w:sz w:val="32"/>
          <w:szCs w:val="32"/>
          <w:lang w:val="en-US" w:eastAsia="zh-CN"/>
        </w:rPr>
        <w:t>厉行</w:t>
      </w:r>
      <w:r>
        <w:rPr>
          <w:rFonts w:hint="eastAsia" w:ascii="仿宋_GB2312" w:eastAsia="仿宋_GB2312" w:cs="宋体"/>
          <w:kern w:val="0"/>
          <w:sz w:val="32"/>
          <w:szCs w:val="32"/>
        </w:rPr>
        <w:t>节约，减少公务接待。</w:t>
      </w:r>
    </w:p>
    <w:p w14:paraId="186E96B8">
      <w:pPr>
        <w:tabs>
          <w:tab w:val="left" w:pos="7513"/>
        </w:tabs>
        <w:adjustRightInd w:val="0"/>
        <w:snapToGrid w:val="0"/>
        <w:spacing w:line="580" w:lineRule="exact"/>
        <w:ind w:firstLine="640" w:firstLineChars="200"/>
        <w:rPr>
          <w:rFonts w:ascii="楷体_GB2312" w:hAnsi="仿宋" w:eastAsia="楷体_GB2312" w:cs="仿宋_GB2312"/>
          <w:sz w:val="32"/>
          <w:szCs w:val="32"/>
        </w:rPr>
      </w:pPr>
      <w:r>
        <w:rPr>
          <w:rFonts w:hint="eastAsia" w:ascii="楷体_GB2312" w:hAnsi="仿宋" w:eastAsia="楷体_GB2312" w:cs="仿宋_GB2312"/>
          <w:sz w:val="32"/>
          <w:szCs w:val="32"/>
        </w:rPr>
        <w:t>（三）公务用车购置及运行费</w:t>
      </w:r>
    </w:p>
    <w:p w14:paraId="352BE81F">
      <w:pPr>
        <w:tabs>
          <w:tab w:val="left" w:pos="7513"/>
        </w:tabs>
        <w:adjustRightInd w:val="0"/>
        <w:snapToGrid w:val="0"/>
        <w:spacing w:line="580" w:lineRule="exact"/>
        <w:ind w:firstLine="640" w:firstLineChars="200"/>
        <w:rPr>
          <w:rFonts w:ascii="仿宋_GB2312" w:hAnsi="仿宋" w:eastAsia="仿宋_GB2312" w:cs="宋体"/>
          <w:kern w:val="0"/>
          <w:sz w:val="32"/>
          <w:szCs w:val="32"/>
        </w:rPr>
      </w:pPr>
      <w:r>
        <w:rPr>
          <w:rFonts w:hint="eastAsia" w:ascii="仿宋_GB2312" w:hAnsi="仿宋" w:eastAsia="仿宋_GB2312" w:cs="仿宋_GB2312"/>
          <w:kern w:val="0"/>
          <w:sz w:val="32"/>
          <w:szCs w:val="32"/>
        </w:rPr>
        <w:t>2020年</w:t>
      </w:r>
      <w:r>
        <w:rPr>
          <w:rFonts w:hint="eastAsia" w:ascii="仿宋_GB2312" w:hAnsi="仿宋" w:eastAsia="仿宋_GB2312" w:cs="宋体"/>
          <w:kern w:val="0"/>
          <w:sz w:val="32"/>
          <w:szCs w:val="32"/>
        </w:rPr>
        <w:t>预算安排34.50万元，其中：公务用车运行费34.50万元，主要用于公务用车燃油、维修、保险等方面支出；公务用车购置费0.00万元。与上年预算相比下降41.82%，主要原因是:</w:t>
      </w:r>
      <w:r>
        <w:rPr>
          <w:rFonts w:hint="eastAsia" w:ascii="仿宋_GB2312" w:eastAsia="仿宋_GB2312" w:cs="宋体"/>
          <w:kern w:val="0"/>
          <w:sz w:val="32"/>
          <w:szCs w:val="32"/>
        </w:rPr>
        <w:t xml:space="preserve"> 坚持</w:t>
      </w:r>
      <w:r>
        <w:rPr>
          <w:rFonts w:hint="eastAsia" w:ascii="仿宋_GB2312" w:eastAsia="仿宋_GB2312" w:cs="宋体"/>
          <w:kern w:val="0"/>
          <w:sz w:val="32"/>
          <w:szCs w:val="32"/>
          <w:lang w:val="en-US" w:eastAsia="zh-CN"/>
        </w:rPr>
        <w:t>厉行</w:t>
      </w:r>
      <w:r>
        <w:rPr>
          <w:rFonts w:hint="eastAsia" w:ascii="仿宋_GB2312" w:eastAsia="仿宋_GB2312" w:cs="宋体"/>
          <w:kern w:val="0"/>
          <w:sz w:val="32"/>
          <w:szCs w:val="32"/>
        </w:rPr>
        <w:t>节约，减少公务用车</w:t>
      </w:r>
      <w:r>
        <w:rPr>
          <w:rFonts w:hint="eastAsia" w:ascii="仿宋_GB2312" w:hAnsi="仿宋" w:eastAsia="仿宋_GB2312" w:cs="宋体"/>
          <w:kern w:val="0"/>
          <w:sz w:val="32"/>
          <w:szCs w:val="32"/>
        </w:rPr>
        <w:t>。</w:t>
      </w:r>
    </w:p>
    <w:p w14:paraId="0D92CE51">
      <w:pPr>
        <w:tabs>
          <w:tab w:val="left" w:pos="7513"/>
        </w:tabs>
        <w:adjustRightInd w:val="0"/>
        <w:snapToGrid w:val="0"/>
        <w:spacing w:line="58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五、其他重要事项的情况说明</w:t>
      </w:r>
    </w:p>
    <w:p w14:paraId="63619289">
      <w:pPr>
        <w:tabs>
          <w:tab w:val="left" w:pos="7513"/>
        </w:tabs>
        <w:adjustRightInd w:val="0"/>
        <w:snapToGrid w:val="0"/>
        <w:spacing w:line="580" w:lineRule="exact"/>
        <w:ind w:firstLine="640" w:firstLineChars="200"/>
        <w:rPr>
          <w:rFonts w:ascii="楷体_GB2312" w:hAnsi="仿宋" w:eastAsia="楷体_GB2312" w:cs="仿宋_GB2312"/>
          <w:sz w:val="32"/>
          <w:szCs w:val="32"/>
        </w:rPr>
      </w:pPr>
      <w:r>
        <w:rPr>
          <w:rFonts w:hint="eastAsia" w:ascii="楷体_GB2312" w:hAnsi="仿宋" w:eastAsia="楷体_GB2312" w:cs="仿宋_GB2312"/>
          <w:sz w:val="32"/>
          <w:szCs w:val="32"/>
        </w:rPr>
        <w:t>（一）机关运行经费</w:t>
      </w:r>
    </w:p>
    <w:p w14:paraId="57421104">
      <w:pPr>
        <w:tabs>
          <w:tab w:val="left" w:pos="7513"/>
        </w:tabs>
        <w:adjustRightInd w:val="0"/>
        <w:snapToGrid w:val="0"/>
        <w:spacing w:line="58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2020年</w:t>
      </w:r>
      <w:r>
        <w:rPr>
          <w:rFonts w:hint="eastAsia" w:ascii="仿宋_GB2312" w:hAnsi="仿宋" w:eastAsia="仿宋_GB2312" w:cs="仿宋_GB2312"/>
          <w:kern w:val="0"/>
          <w:sz w:val="32"/>
          <w:szCs w:val="32"/>
        </w:rPr>
        <w:t>厦门市文化和旅游局</w:t>
      </w:r>
      <w:r>
        <w:rPr>
          <w:rFonts w:hint="eastAsia" w:ascii="仿宋_GB2312" w:hAnsi="仿宋" w:eastAsia="仿宋_GB2312" w:cs="宋体"/>
          <w:kern w:val="0"/>
          <w:sz w:val="32"/>
          <w:szCs w:val="32"/>
        </w:rPr>
        <w:t>的机关运行经费财政拨款预算1</w:t>
      </w:r>
      <w:r>
        <w:rPr>
          <w:rFonts w:hint="eastAsia" w:ascii="仿宋_GB2312" w:hAnsi="仿宋" w:eastAsia="仿宋_GB2312" w:cs="仿宋_GB2312"/>
          <w:sz w:val="32"/>
          <w:szCs w:val="32"/>
        </w:rPr>
        <w:t>,</w:t>
      </w:r>
      <w:r>
        <w:rPr>
          <w:rFonts w:hint="eastAsia" w:ascii="仿宋_GB2312" w:hAnsi="仿宋" w:eastAsia="仿宋_GB2312" w:cs="宋体"/>
          <w:kern w:val="0"/>
          <w:sz w:val="32"/>
          <w:szCs w:val="32"/>
        </w:rPr>
        <w:t>090.01万元，比2019年增加291.02万元，增长36.42%。主要原因是因为</w:t>
      </w:r>
      <w:r>
        <w:rPr>
          <w:rFonts w:hint="eastAsia" w:ascii="仿宋_GB2312" w:hAnsi="仿宋_GB2312" w:eastAsia="仿宋_GB2312" w:cs="仿宋_GB2312"/>
          <w:kern w:val="0"/>
          <w:sz w:val="32"/>
          <w:szCs w:val="32"/>
        </w:rPr>
        <w:t>市文化和旅游市场综合执法支队</w:t>
      </w:r>
      <w:r>
        <w:rPr>
          <w:rFonts w:hint="eastAsia" w:ascii="仿宋_GB2312" w:hAnsi="仿宋" w:eastAsia="仿宋_GB2312" w:cs="宋体"/>
          <w:kern w:val="0"/>
          <w:sz w:val="32"/>
          <w:szCs w:val="32"/>
        </w:rPr>
        <w:t>机构改革，并入新的单位和人员增加。</w:t>
      </w:r>
    </w:p>
    <w:p w14:paraId="411A0357">
      <w:pPr>
        <w:tabs>
          <w:tab w:val="left" w:pos="7513"/>
        </w:tabs>
        <w:adjustRightInd w:val="0"/>
        <w:snapToGrid w:val="0"/>
        <w:spacing w:line="580" w:lineRule="exact"/>
        <w:ind w:firstLine="640" w:firstLineChars="200"/>
        <w:rPr>
          <w:rFonts w:ascii="楷体_GB2312" w:hAnsi="仿宋" w:eastAsia="楷体_GB2312" w:cs="仿宋_GB2312"/>
          <w:sz w:val="32"/>
          <w:szCs w:val="32"/>
        </w:rPr>
      </w:pPr>
      <w:r>
        <w:rPr>
          <w:rFonts w:hint="eastAsia" w:ascii="楷体_GB2312" w:hAnsi="仿宋" w:eastAsia="楷体_GB2312" w:cs="仿宋_GB2312"/>
          <w:sz w:val="32"/>
          <w:szCs w:val="32"/>
        </w:rPr>
        <w:t>（二）政府采购情况</w:t>
      </w:r>
    </w:p>
    <w:p w14:paraId="079D66CB">
      <w:pPr>
        <w:spacing w:line="580" w:lineRule="exact"/>
        <w:ind w:firstLine="640" w:firstLineChars="200"/>
        <w:rPr>
          <w:rFonts w:ascii="宋体" w:hAnsi="宋体" w:cs="宋体"/>
          <w:kern w:val="0"/>
          <w:sz w:val="20"/>
          <w:szCs w:val="20"/>
        </w:rPr>
      </w:pPr>
      <w:r>
        <w:rPr>
          <w:rFonts w:hint="eastAsia" w:ascii="仿宋_GB2312" w:hAnsi="仿宋" w:eastAsia="仿宋_GB2312" w:cs="宋体"/>
          <w:kern w:val="0"/>
          <w:sz w:val="32"/>
          <w:szCs w:val="32"/>
        </w:rPr>
        <w:t>2020年</w:t>
      </w:r>
      <w:r>
        <w:rPr>
          <w:rFonts w:hint="eastAsia" w:ascii="仿宋_GB2312" w:hAnsi="仿宋" w:eastAsia="仿宋_GB2312" w:cs="仿宋_GB2312"/>
          <w:kern w:val="0"/>
          <w:sz w:val="32"/>
          <w:szCs w:val="32"/>
        </w:rPr>
        <w:t>厦门市文化和旅游局</w:t>
      </w:r>
      <w:r>
        <w:rPr>
          <w:rFonts w:hint="eastAsia" w:ascii="仿宋_GB2312" w:hAnsi="仿宋" w:eastAsia="仿宋_GB2312" w:cs="宋体"/>
          <w:kern w:val="0"/>
          <w:sz w:val="32"/>
          <w:szCs w:val="32"/>
        </w:rPr>
        <w:t>政府采购预算总额14</w:t>
      </w:r>
      <w:r>
        <w:rPr>
          <w:rFonts w:hint="eastAsia" w:ascii="仿宋_GB2312" w:hAnsi="仿宋" w:eastAsia="仿宋_GB2312" w:cs="仿宋_GB2312"/>
          <w:sz w:val="32"/>
          <w:szCs w:val="32"/>
        </w:rPr>
        <w:t>,</w:t>
      </w:r>
      <w:r>
        <w:rPr>
          <w:rFonts w:hint="eastAsia" w:ascii="仿宋_GB2312" w:hAnsi="仿宋" w:eastAsia="仿宋_GB2312" w:cs="宋体"/>
          <w:kern w:val="0"/>
          <w:sz w:val="32"/>
          <w:szCs w:val="32"/>
        </w:rPr>
        <w:t>952.42万元，其中：政府采购货物预算5,422.42 万元，政府采购工程预算0.00万元，政府采购服务预算9</w:t>
      </w:r>
      <w:r>
        <w:rPr>
          <w:rFonts w:hint="eastAsia" w:ascii="仿宋_GB2312" w:hAnsi="仿宋" w:eastAsia="仿宋_GB2312" w:cs="仿宋_GB2312"/>
          <w:sz w:val="32"/>
          <w:szCs w:val="32"/>
        </w:rPr>
        <w:t>,</w:t>
      </w:r>
      <w:r>
        <w:rPr>
          <w:rFonts w:hint="eastAsia" w:ascii="仿宋_GB2312" w:hAnsi="仿宋" w:eastAsia="仿宋_GB2312" w:cs="宋体"/>
          <w:kern w:val="0"/>
          <w:sz w:val="32"/>
          <w:szCs w:val="32"/>
        </w:rPr>
        <w:t>530.00万元。</w:t>
      </w:r>
    </w:p>
    <w:p w14:paraId="6CEF81B3">
      <w:pPr>
        <w:tabs>
          <w:tab w:val="left" w:pos="7513"/>
        </w:tabs>
        <w:adjustRightInd w:val="0"/>
        <w:snapToGrid w:val="0"/>
        <w:spacing w:line="580" w:lineRule="exact"/>
        <w:ind w:firstLine="640" w:firstLineChars="200"/>
        <w:rPr>
          <w:rFonts w:ascii="楷体_GB2312" w:hAnsi="仿宋" w:eastAsia="楷体_GB2312" w:cs="仿宋_GB2312"/>
          <w:sz w:val="32"/>
          <w:szCs w:val="32"/>
        </w:rPr>
      </w:pPr>
      <w:r>
        <w:rPr>
          <w:rFonts w:hint="eastAsia" w:ascii="楷体_GB2312" w:hAnsi="仿宋" w:eastAsia="楷体_GB2312" w:cs="仿宋_GB2312"/>
          <w:sz w:val="32"/>
          <w:szCs w:val="32"/>
        </w:rPr>
        <w:t>（三）国有资产占有使用情况</w:t>
      </w:r>
    </w:p>
    <w:p w14:paraId="40DC5B1D">
      <w:pPr>
        <w:tabs>
          <w:tab w:val="left" w:pos="7513"/>
        </w:tabs>
        <w:adjustRightInd w:val="0"/>
        <w:snapToGrid w:val="0"/>
        <w:spacing w:line="580" w:lineRule="exact"/>
        <w:ind w:firstLine="640" w:firstLineChars="200"/>
        <w:rPr>
          <w:rFonts w:ascii="仿宋_GB2312" w:hAnsi="仿宋" w:eastAsia="仿宋_GB2312" w:cs="宋体"/>
          <w:kern w:val="0"/>
          <w:sz w:val="32"/>
          <w:szCs w:val="32"/>
        </w:rPr>
      </w:pPr>
      <w:r>
        <w:rPr>
          <w:rFonts w:hint="eastAsia" w:ascii="仿宋_GB2312" w:hAnsi="宋体" w:eastAsia="仿宋_GB2312" w:cs="宋体"/>
          <w:kern w:val="0"/>
          <w:sz w:val="32"/>
          <w:szCs w:val="32"/>
        </w:rPr>
        <w:t>截</w:t>
      </w:r>
      <w:r>
        <w:rPr>
          <w:rFonts w:hint="eastAsia" w:ascii="仿宋_GB2312" w:hAnsi="仿宋" w:eastAsia="仿宋_GB2312" w:cs="仿宋_GB2312"/>
          <w:sz w:val="32"/>
          <w:szCs w:val="32"/>
        </w:rPr>
        <w:t>至2019年12月31日，</w:t>
      </w:r>
      <w:r>
        <w:rPr>
          <w:rFonts w:hint="eastAsia" w:ascii="仿宋_GB2312" w:hAnsi="仿宋" w:eastAsia="仿宋_GB2312" w:cs="仿宋_GB2312"/>
          <w:kern w:val="0"/>
          <w:sz w:val="32"/>
          <w:szCs w:val="32"/>
        </w:rPr>
        <w:t>厦门市文化和旅游局</w:t>
      </w:r>
      <w:r>
        <w:rPr>
          <w:rFonts w:hint="eastAsia" w:ascii="仿宋_GB2312" w:hAnsi="仿宋" w:eastAsia="仿宋_GB2312" w:cs="仿宋_GB2312"/>
          <w:sz w:val="32"/>
          <w:szCs w:val="32"/>
        </w:rPr>
        <w:t>所属各预算单位共有车辆22辆，</w:t>
      </w:r>
      <w:r>
        <w:rPr>
          <w:rFonts w:ascii="仿宋_GB2312" w:hAnsi="仿宋" w:eastAsia="仿宋_GB2312" w:cs="仿宋_GB2312"/>
          <w:sz w:val="32"/>
          <w:szCs w:val="32"/>
        </w:rPr>
        <w:t>单位价值50万以上通用设备</w:t>
      </w:r>
      <w:r>
        <w:rPr>
          <w:rFonts w:hint="eastAsia" w:ascii="仿宋_GB2312" w:hAnsi="仿宋" w:eastAsia="仿宋_GB2312" w:cs="仿宋_GB2312"/>
          <w:sz w:val="32"/>
          <w:szCs w:val="32"/>
        </w:rPr>
        <w:t>9</w:t>
      </w:r>
      <w:r>
        <w:rPr>
          <w:rFonts w:ascii="仿宋_GB2312" w:hAnsi="仿宋" w:eastAsia="仿宋_GB2312" w:cs="仿宋_GB2312"/>
          <w:sz w:val="32"/>
          <w:szCs w:val="32"/>
        </w:rPr>
        <w:t>台（套）</w:t>
      </w:r>
      <w:r>
        <w:rPr>
          <w:rFonts w:hint="eastAsia" w:ascii="仿宋_GB2312" w:hAnsi="仿宋" w:eastAsia="仿宋_GB2312" w:cs="仿宋_GB2312"/>
          <w:sz w:val="32"/>
          <w:szCs w:val="32"/>
        </w:rPr>
        <w:t>，</w:t>
      </w:r>
      <w:r>
        <w:rPr>
          <w:rFonts w:ascii="仿宋_GB2312" w:hAnsi="仿宋" w:eastAsia="仿宋_GB2312" w:cs="仿宋_GB2312"/>
          <w:sz w:val="32"/>
          <w:szCs w:val="32"/>
        </w:rPr>
        <w:t>单位价值100万以上专用设备</w:t>
      </w:r>
      <w:r>
        <w:rPr>
          <w:rFonts w:hint="eastAsia" w:ascii="仿宋_GB2312" w:hAnsi="仿宋" w:eastAsia="仿宋_GB2312" w:cs="仿宋_GB2312"/>
          <w:sz w:val="32"/>
          <w:szCs w:val="32"/>
        </w:rPr>
        <w:t>6</w:t>
      </w:r>
      <w:r>
        <w:rPr>
          <w:rFonts w:ascii="仿宋_GB2312" w:hAnsi="仿宋" w:eastAsia="仿宋_GB2312" w:cs="仿宋_GB2312"/>
          <w:sz w:val="32"/>
          <w:szCs w:val="32"/>
        </w:rPr>
        <w:t>台（套）</w:t>
      </w:r>
      <w:r>
        <w:rPr>
          <w:rFonts w:hint="eastAsia" w:ascii="仿宋_GB2312" w:hAnsi="仿宋" w:eastAsia="仿宋_GB2312" w:cs="仿宋_GB2312"/>
          <w:sz w:val="32"/>
          <w:szCs w:val="32"/>
        </w:rPr>
        <w:t>。</w:t>
      </w:r>
    </w:p>
    <w:p w14:paraId="63BE5D71">
      <w:pPr>
        <w:tabs>
          <w:tab w:val="left" w:pos="7513"/>
        </w:tabs>
        <w:adjustRightInd w:val="0"/>
        <w:snapToGrid w:val="0"/>
        <w:spacing w:line="580" w:lineRule="exact"/>
        <w:ind w:firstLine="640" w:firstLineChars="200"/>
        <w:rPr>
          <w:rFonts w:ascii="楷体_GB2312" w:hAnsi="仿宋" w:eastAsia="楷体_GB2312" w:cs="仿宋_GB2312"/>
          <w:sz w:val="32"/>
          <w:szCs w:val="32"/>
        </w:rPr>
      </w:pPr>
      <w:r>
        <w:rPr>
          <w:rFonts w:hint="eastAsia" w:ascii="楷体_GB2312" w:hAnsi="仿宋" w:eastAsia="楷体_GB2312" w:cs="仿宋_GB2312"/>
          <w:sz w:val="32"/>
          <w:szCs w:val="32"/>
        </w:rPr>
        <w:t>（四）绩效目标设置情况</w:t>
      </w:r>
    </w:p>
    <w:p w14:paraId="09E727ED">
      <w:pPr>
        <w:tabs>
          <w:tab w:val="left" w:pos="7513"/>
        </w:tabs>
        <w:adjustRightInd w:val="0"/>
        <w:snapToGrid w:val="0"/>
        <w:spacing w:line="580" w:lineRule="exact"/>
        <w:ind w:firstLine="640" w:firstLineChars="200"/>
        <w:rPr>
          <w:rFonts w:ascii="仿宋_GB2312" w:hAnsi="宋体" w:eastAsia="仿宋_GB2312" w:cs="宋体"/>
          <w:kern w:val="0"/>
          <w:sz w:val="32"/>
          <w:szCs w:val="32"/>
        </w:rPr>
      </w:pPr>
      <w:r>
        <w:rPr>
          <w:rFonts w:hint="eastAsia" w:ascii="仿宋_GB2312" w:hAnsi="仿宋" w:eastAsia="仿宋_GB2312" w:cs="仿宋_GB2312"/>
          <w:kern w:val="0"/>
          <w:sz w:val="32"/>
          <w:szCs w:val="32"/>
        </w:rPr>
        <w:t>厦门市文化和旅游局</w:t>
      </w:r>
      <w:r>
        <w:rPr>
          <w:rFonts w:hint="eastAsia" w:ascii="仿宋_GB2312" w:hAnsi="宋体" w:eastAsia="仿宋_GB2312" w:cs="宋体"/>
          <w:kern w:val="0"/>
          <w:sz w:val="32"/>
          <w:szCs w:val="32"/>
        </w:rPr>
        <w:t>2020年实行绩效目标管理的一级项目7个，涉及一般公共预算拨款23</w:t>
      </w:r>
      <w:r>
        <w:rPr>
          <w:rFonts w:hint="eastAsia" w:ascii="仿宋_GB2312" w:hAnsi="仿宋" w:eastAsia="仿宋_GB2312" w:cs="仿宋_GB2312"/>
          <w:sz w:val="32"/>
          <w:szCs w:val="32"/>
        </w:rPr>
        <w:t>,</w:t>
      </w:r>
      <w:r>
        <w:rPr>
          <w:rFonts w:hint="eastAsia" w:ascii="仿宋_GB2312" w:hAnsi="宋体" w:eastAsia="仿宋_GB2312" w:cs="宋体"/>
          <w:kern w:val="0"/>
          <w:sz w:val="32"/>
          <w:szCs w:val="32"/>
        </w:rPr>
        <w:t>263.00万元。</w:t>
      </w:r>
    </w:p>
    <w:p w14:paraId="6E4A8E4B">
      <w:pPr>
        <w:tabs>
          <w:tab w:val="left" w:pos="7513"/>
        </w:tabs>
        <w:adjustRightInd w:val="0"/>
        <w:snapToGrid w:val="0"/>
        <w:spacing w:line="560" w:lineRule="exact"/>
        <w:ind w:firstLine="640" w:firstLineChars="200"/>
        <w:rPr>
          <w:rFonts w:hint="eastAsia" w:ascii="楷体_GB2312" w:hAnsi="仿宋" w:eastAsia="楷体_GB2312" w:cs="仿宋_GB2312"/>
          <w:sz w:val="32"/>
          <w:szCs w:val="32"/>
        </w:rPr>
      </w:pPr>
      <w:r>
        <w:rPr>
          <w:rFonts w:hint="eastAsia" w:ascii="楷体_GB2312" w:hAnsi="仿宋" w:eastAsia="楷体_GB2312" w:cs="仿宋_GB2312"/>
          <w:sz w:val="32"/>
          <w:szCs w:val="32"/>
        </w:rPr>
        <w:t>（五）项目支出预算压减情况</w:t>
      </w:r>
    </w:p>
    <w:p w14:paraId="045E43AC">
      <w:pPr>
        <w:tabs>
          <w:tab w:val="left" w:pos="7513"/>
        </w:tabs>
        <w:adjustRightInd w:val="0"/>
        <w:snapToGrid w:val="0"/>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按照市政府关于预算编制与预算执行挂钩的要求，</w:t>
      </w:r>
      <w:r>
        <w:rPr>
          <w:rFonts w:hint="eastAsia" w:ascii="仿宋_GB2312" w:hAnsi="仿宋" w:eastAsia="仿宋_GB2312" w:cs="仿宋_GB2312"/>
          <w:kern w:val="0"/>
          <w:sz w:val="32"/>
          <w:szCs w:val="32"/>
        </w:rPr>
        <w:t>厦门市文化和旅游局</w:t>
      </w:r>
      <w:r>
        <w:rPr>
          <w:rFonts w:hint="eastAsia" w:ascii="仿宋_GB2312" w:hAnsi="宋体" w:eastAsia="仿宋_GB2312" w:cs="宋体"/>
          <w:kern w:val="0"/>
          <w:sz w:val="32"/>
          <w:szCs w:val="32"/>
        </w:rPr>
        <w:t>文物保护专项资金项目2019年全年预算执行率低于80%，需扣减2020年预算批复数219.00万元。</w:t>
      </w:r>
    </w:p>
    <w:p w14:paraId="637CCA26">
      <w:pPr>
        <w:tabs>
          <w:tab w:val="left" w:pos="7513"/>
        </w:tabs>
        <w:adjustRightInd w:val="0"/>
        <w:snapToGrid w:val="0"/>
        <w:spacing w:line="580" w:lineRule="exact"/>
        <w:ind w:firstLine="640" w:firstLineChars="200"/>
        <w:rPr>
          <w:rFonts w:ascii="仿宋_GB2312" w:hAnsi="仿宋" w:eastAsia="仿宋_GB2312" w:cs="宋体"/>
          <w:kern w:val="0"/>
          <w:sz w:val="32"/>
          <w:szCs w:val="32"/>
        </w:rPr>
      </w:pPr>
    </w:p>
    <w:p w14:paraId="22734A26">
      <w:pPr>
        <w:tabs>
          <w:tab w:val="left" w:pos="7513"/>
        </w:tabs>
        <w:adjustRightInd w:val="0"/>
        <w:snapToGrid w:val="0"/>
        <w:spacing w:line="580" w:lineRule="exact"/>
        <w:jc w:val="center"/>
        <w:rPr>
          <w:rFonts w:ascii="黑体" w:hAnsi="黑体" w:eastAsia="黑体"/>
          <w:sz w:val="32"/>
          <w:szCs w:val="32"/>
        </w:rPr>
      </w:pPr>
      <w:r>
        <w:rPr>
          <w:rFonts w:hint="eastAsia" w:ascii="黑体" w:hAnsi="黑体" w:eastAsia="黑体"/>
          <w:sz w:val="32"/>
          <w:szCs w:val="32"/>
        </w:rPr>
        <w:t>第三部分  名词解释</w:t>
      </w:r>
    </w:p>
    <w:p w14:paraId="2F74F5E5">
      <w:pPr>
        <w:tabs>
          <w:tab w:val="left" w:pos="7513"/>
        </w:tabs>
        <w:adjustRightInd w:val="0"/>
        <w:snapToGrid w:val="0"/>
        <w:spacing w:line="580" w:lineRule="exact"/>
        <w:jc w:val="center"/>
        <w:rPr>
          <w:rFonts w:ascii="黑体" w:hAnsi="黑体" w:eastAsia="黑体"/>
          <w:sz w:val="32"/>
          <w:szCs w:val="32"/>
        </w:rPr>
      </w:pPr>
    </w:p>
    <w:p w14:paraId="2A34037A">
      <w:pPr>
        <w:tabs>
          <w:tab w:val="left" w:pos="7513"/>
        </w:tabs>
        <w:adjustRightInd w:val="0"/>
        <w:snapToGrid w:val="0"/>
        <w:spacing w:line="580" w:lineRule="exact"/>
        <w:ind w:firstLine="640" w:firstLineChars="200"/>
        <w:rPr>
          <w:rFonts w:ascii="仿宋_GB2312" w:hAnsi="仿宋" w:eastAsia="仿宋_GB2312" w:cs="宋体"/>
          <w:kern w:val="0"/>
          <w:sz w:val="32"/>
          <w:szCs w:val="32"/>
        </w:rPr>
      </w:pPr>
      <w:r>
        <w:rPr>
          <w:rFonts w:hint="eastAsia" w:ascii="楷体_GB2312" w:hAnsi="仿宋" w:eastAsia="楷体_GB2312" w:cs="仿宋_GB2312"/>
          <w:sz w:val="32"/>
          <w:szCs w:val="32"/>
        </w:rPr>
        <w:t>一、基本支出</w:t>
      </w:r>
      <w:r>
        <w:rPr>
          <w:rFonts w:hint="eastAsia" w:ascii="楷体_GB2312" w:hAnsi="仿宋" w:eastAsia="楷体_GB2312" w:cs="宋体"/>
          <w:kern w:val="0"/>
          <w:sz w:val="32"/>
          <w:szCs w:val="32"/>
        </w:rPr>
        <w:t>：</w:t>
      </w:r>
      <w:r>
        <w:rPr>
          <w:rFonts w:hint="eastAsia" w:ascii="仿宋_GB2312" w:hAnsi="仿宋" w:eastAsia="仿宋_GB2312" w:cs="宋体"/>
          <w:kern w:val="0"/>
          <w:sz w:val="32"/>
          <w:szCs w:val="32"/>
        </w:rPr>
        <w:t>指为保障机构正常运转、完成日常工作任务而发生的人员支出、对个人和家庭的补助支出和公用支出。</w:t>
      </w:r>
    </w:p>
    <w:p w14:paraId="456B4B63">
      <w:pPr>
        <w:tabs>
          <w:tab w:val="left" w:pos="7513"/>
        </w:tabs>
        <w:adjustRightInd w:val="0"/>
        <w:snapToGrid w:val="0"/>
        <w:spacing w:line="580" w:lineRule="exact"/>
        <w:ind w:firstLine="640" w:firstLineChars="200"/>
        <w:rPr>
          <w:rFonts w:ascii="仿宋_GB2312" w:hAnsi="仿宋" w:eastAsia="仿宋_GB2312" w:cs="宋体"/>
          <w:kern w:val="0"/>
          <w:sz w:val="32"/>
          <w:szCs w:val="32"/>
        </w:rPr>
      </w:pPr>
      <w:r>
        <w:rPr>
          <w:rFonts w:hint="eastAsia" w:ascii="楷体_GB2312" w:hAnsi="仿宋" w:eastAsia="楷体_GB2312" w:cs="仿宋_GB2312"/>
          <w:sz w:val="32"/>
          <w:szCs w:val="32"/>
        </w:rPr>
        <w:t>二、项目支出</w:t>
      </w:r>
      <w:r>
        <w:rPr>
          <w:rFonts w:hint="eastAsia" w:ascii="楷体_GB2312" w:hAnsi="仿宋" w:eastAsia="楷体_GB2312" w:cs="宋体"/>
          <w:kern w:val="0"/>
          <w:sz w:val="32"/>
          <w:szCs w:val="32"/>
        </w:rPr>
        <w:t>：</w:t>
      </w:r>
      <w:r>
        <w:rPr>
          <w:rFonts w:hint="eastAsia" w:ascii="仿宋_GB2312" w:hAnsi="仿宋" w:eastAsia="仿宋_GB2312" w:cs="宋体"/>
          <w:kern w:val="0"/>
          <w:sz w:val="32"/>
          <w:szCs w:val="32"/>
        </w:rPr>
        <w:t>指在基本支出之外为完成特定行政任务和事业发展目标所发生的支出，</w:t>
      </w:r>
      <w:r>
        <w:rPr>
          <w:rFonts w:hint="eastAsia" w:ascii="仿宋_GB2312" w:hAnsi="仿宋" w:eastAsia="仿宋_GB2312"/>
          <w:sz w:val="32"/>
          <w:szCs w:val="32"/>
        </w:rPr>
        <w:t>包括部门专项、发展经费和基建项目。</w:t>
      </w:r>
    </w:p>
    <w:p w14:paraId="3AB55839">
      <w:pPr>
        <w:tabs>
          <w:tab w:val="left" w:pos="7513"/>
        </w:tabs>
        <w:adjustRightInd w:val="0"/>
        <w:snapToGrid w:val="0"/>
        <w:spacing w:line="580" w:lineRule="exact"/>
        <w:ind w:firstLine="640" w:firstLineChars="200"/>
        <w:rPr>
          <w:rFonts w:ascii="仿宋_GB2312" w:hAnsi="仿宋" w:eastAsia="仿宋_GB2312" w:cs="宋体"/>
          <w:kern w:val="0"/>
          <w:sz w:val="32"/>
          <w:szCs w:val="32"/>
        </w:rPr>
      </w:pPr>
      <w:r>
        <w:rPr>
          <w:rFonts w:hint="eastAsia" w:ascii="楷体_GB2312" w:hAnsi="仿宋" w:eastAsia="楷体_GB2312" w:cs="仿宋_GB2312"/>
          <w:sz w:val="32"/>
          <w:szCs w:val="32"/>
        </w:rPr>
        <w:t>三、“三公”经费</w:t>
      </w:r>
      <w:r>
        <w:rPr>
          <w:rFonts w:hint="eastAsia" w:ascii="楷体_GB2312" w:hAnsi="仿宋" w:eastAsia="楷体_GB2312" w:cs="宋体"/>
          <w:kern w:val="0"/>
          <w:sz w:val="32"/>
          <w:szCs w:val="32"/>
        </w:rPr>
        <w:t>：</w:t>
      </w:r>
      <w:r>
        <w:rPr>
          <w:rFonts w:hint="eastAsia" w:ascii="仿宋_GB2312" w:hAnsi="仿宋" w:eastAsia="仿宋_GB2312" w:cs="宋体"/>
          <w:kern w:val="0"/>
          <w:sz w:val="32"/>
          <w:szCs w:val="32"/>
        </w:rPr>
        <w:t>纳入财政预决算管理的“三公”经费，是指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0D013D0">
      <w:pPr>
        <w:tabs>
          <w:tab w:val="left" w:pos="7513"/>
        </w:tabs>
        <w:adjustRightInd w:val="0"/>
        <w:snapToGrid w:val="0"/>
        <w:spacing w:line="580" w:lineRule="exact"/>
        <w:ind w:firstLine="640" w:firstLineChars="200"/>
        <w:rPr>
          <w:rFonts w:ascii="仿宋_GB2312" w:hAnsi="仿宋" w:eastAsia="仿宋_GB2312" w:cs="宋体"/>
          <w:kern w:val="0"/>
          <w:sz w:val="32"/>
          <w:szCs w:val="32"/>
        </w:rPr>
      </w:pPr>
      <w:r>
        <w:rPr>
          <w:rFonts w:hint="eastAsia" w:ascii="楷体_GB2312" w:hAnsi="仿宋" w:eastAsia="楷体_GB2312" w:cs="仿宋_GB2312"/>
          <w:sz w:val="32"/>
          <w:szCs w:val="32"/>
        </w:rPr>
        <w:t>四、机关运行经费</w:t>
      </w:r>
      <w:r>
        <w:rPr>
          <w:rFonts w:hint="eastAsia" w:ascii="楷体_GB2312" w:hAnsi="仿宋" w:eastAsia="楷体_GB2312" w:cs="宋体"/>
          <w:kern w:val="0"/>
          <w:sz w:val="32"/>
          <w:szCs w:val="32"/>
        </w:rPr>
        <w:t>：</w:t>
      </w:r>
      <w:r>
        <w:rPr>
          <w:rFonts w:hint="eastAsia" w:ascii="仿宋_GB2312" w:hAnsi="仿宋" w:eastAsia="仿宋_GB2312" w:cs="宋体"/>
          <w:kern w:val="0"/>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14:paraId="606A4ED0">
      <w:pPr>
        <w:tabs>
          <w:tab w:val="left" w:pos="7513"/>
        </w:tabs>
        <w:adjustRightInd w:val="0"/>
        <w:snapToGrid w:val="0"/>
        <w:spacing w:line="580" w:lineRule="exact"/>
        <w:ind w:firstLine="640" w:firstLineChars="200"/>
        <w:rPr>
          <w:rFonts w:ascii="仿宋_GB2312" w:hAnsi="仿宋" w:eastAsia="仿宋_GB2312" w:cs="仿宋_GB2312"/>
          <w:sz w:val="32"/>
          <w:szCs w:val="32"/>
        </w:rPr>
      </w:pPr>
      <w:r>
        <w:rPr>
          <w:rFonts w:hint="eastAsia" w:ascii="楷体_GB2312" w:hAnsi="仿宋" w:eastAsia="楷体_GB2312" w:cs="仿宋_GB2312"/>
          <w:sz w:val="32"/>
          <w:szCs w:val="32"/>
        </w:rPr>
        <w:t>五、其他名词解释</w:t>
      </w:r>
      <w:r>
        <w:rPr>
          <w:rFonts w:hint="eastAsia" w:ascii="仿宋_GB2312" w:hAnsi="仿宋" w:eastAsia="仿宋_GB2312" w:cs="仿宋_GB2312"/>
          <w:sz w:val="32"/>
          <w:szCs w:val="32"/>
        </w:rPr>
        <w:t>：无</w:t>
      </w:r>
    </w:p>
    <w:p w14:paraId="4FDE16C9">
      <w:pPr>
        <w:tabs>
          <w:tab w:val="left" w:pos="7513"/>
        </w:tabs>
        <w:adjustRightInd w:val="0"/>
        <w:snapToGrid w:val="0"/>
        <w:spacing w:line="580" w:lineRule="exact"/>
        <w:ind w:firstLine="640" w:firstLineChars="200"/>
        <w:rPr>
          <w:rFonts w:ascii="仿宋_GB2312" w:hAnsi="仿宋" w:eastAsia="仿宋_GB2312" w:cs="仿宋_GB2312"/>
          <w:sz w:val="32"/>
          <w:szCs w:val="32"/>
        </w:rPr>
      </w:pPr>
    </w:p>
    <w:p w14:paraId="51D3059B">
      <w:pPr>
        <w:tabs>
          <w:tab w:val="left" w:pos="7513"/>
        </w:tabs>
        <w:adjustRightInd w:val="0"/>
        <w:snapToGrid w:val="0"/>
        <w:spacing w:line="580" w:lineRule="exact"/>
        <w:jc w:val="center"/>
        <w:rPr>
          <w:rFonts w:ascii="黑体" w:hAnsi="黑体" w:eastAsia="黑体"/>
          <w:sz w:val="32"/>
          <w:szCs w:val="32"/>
        </w:rPr>
      </w:pPr>
      <w:r>
        <w:rPr>
          <w:rFonts w:hint="eastAsia" w:ascii="黑体" w:hAnsi="黑体" w:eastAsia="黑体"/>
          <w:sz w:val="32"/>
          <w:szCs w:val="32"/>
        </w:rPr>
        <w:t>第四部分  2020年部门预算附表</w:t>
      </w:r>
    </w:p>
    <w:p w14:paraId="5D1DB1D0">
      <w:pPr>
        <w:tabs>
          <w:tab w:val="left" w:pos="7513"/>
        </w:tabs>
        <w:adjustRightInd w:val="0"/>
        <w:snapToGrid w:val="0"/>
        <w:spacing w:line="580" w:lineRule="exact"/>
        <w:jc w:val="center"/>
        <w:rPr>
          <w:rFonts w:ascii="黑体" w:hAnsi="黑体" w:eastAsia="黑体"/>
          <w:sz w:val="32"/>
          <w:szCs w:val="32"/>
        </w:rPr>
      </w:pPr>
    </w:p>
    <w:p w14:paraId="70B4DBC6">
      <w:pPr>
        <w:shd w:val="clear" w:color="auto" w:fill="FFFFFF"/>
        <w:tabs>
          <w:tab w:val="left" w:pos="7513"/>
        </w:tabs>
        <w:adjustRightInd w:val="0"/>
        <w:snapToGrid w:val="0"/>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一、部门收支预算总体情况表</w:t>
      </w:r>
    </w:p>
    <w:p w14:paraId="12F88EC9">
      <w:pPr>
        <w:shd w:val="clear" w:color="auto" w:fill="FFFFFF"/>
        <w:tabs>
          <w:tab w:val="left" w:pos="7513"/>
        </w:tabs>
        <w:adjustRightInd w:val="0"/>
        <w:snapToGrid w:val="0"/>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二、部门收入预算总体情况表</w:t>
      </w:r>
    </w:p>
    <w:p w14:paraId="09951912">
      <w:pPr>
        <w:shd w:val="clear" w:color="auto" w:fill="FFFFFF"/>
        <w:tabs>
          <w:tab w:val="left" w:pos="7513"/>
        </w:tabs>
        <w:adjustRightInd w:val="0"/>
        <w:snapToGrid w:val="0"/>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三、部门支出预算总体情况表</w:t>
      </w:r>
    </w:p>
    <w:p w14:paraId="1BDC91A0">
      <w:pPr>
        <w:shd w:val="clear" w:color="auto" w:fill="FFFFFF"/>
        <w:tabs>
          <w:tab w:val="left" w:pos="7513"/>
        </w:tabs>
        <w:adjustRightInd w:val="0"/>
        <w:snapToGrid w:val="0"/>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四、财政拨款收支预算总体情况表</w:t>
      </w:r>
    </w:p>
    <w:p w14:paraId="419A8292">
      <w:pPr>
        <w:shd w:val="clear" w:color="auto" w:fill="FFFFFF"/>
        <w:tabs>
          <w:tab w:val="left" w:pos="7513"/>
        </w:tabs>
        <w:adjustRightInd w:val="0"/>
        <w:snapToGrid w:val="0"/>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五、</w:t>
      </w:r>
      <w:r>
        <w:rPr>
          <w:rFonts w:hint="eastAsia"/>
        </w:rPr>
        <w:t xml:space="preserve"> </w:t>
      </w:r>
      <w:r>
        <w:rPr>
          <w:rFonts w:hint="eastAsia" w:ascii="仿宋_GB2312" w:hAnsi="仿宋" w:eastAsia="仿宋_GB2312" w:cs="仿宋_GB2312"/>
          <w:sz w:val="32"/>
          <w:szCs w:val="32"/>
        </w:rPr>
        <w:t>一般公共预算支出情况表</w:t>
      </w:r>
    </w:p>
    <w:p w14:paraId="4314096F">
      <w:pPr>
        <w:shd w:val="clear" w:color="auto" w:fill="FFFFFF"/>
        <w:tabs>
          <w:tab w:val="left" w:pos="7513"/>
        </w:tabs>
        <w:adjustRightInd w:val="0"/>
        <w:snapToGrid w:val="0"/>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六、一般公共预算基本支出情况表（经济分类款级科目）</w:t>
      </w:r>
    </w:p>
    <w:p w14:paraId="5B603974">
      <w:pPr>
        <w:shd w:val="clear" w:color="auto" w:fill="FFFFFF"/>
        <w:tabs>
          <w:tab w:val="left" w:pos="7513"/>
        </w:tabs>
        <w:adjustRightInd w:val="0"/>
        <w:snapToGrid w:val="0"/>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七、一般公共预算“三公”经费支出情况表</w:t>
      </w:r>
    </w:p>
    <w:p w14:paraId="458DF12E">
      <w:pPr>
        <w:shd w:val="clear" w:color="auto" w:fill="FFFFFF"/>
        <w:tabs>
          <w:tab w:val="left" w:pos="7513"/>
        </w:tabs>
        <w:adjustRightInd w:val="0"/>
        <w:snapToGrid w:val="0"/>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八、政府性基金预算支出情况表</w:t>
      </w:r>
    </w:p>
    <w:p w14:paraId="0E2FD715">
      <w:pPr>
        <w:shd w:val="clear" w:color="auto" w:fill="FFFFFF"/>
        <w:tabs>
          <w:tab w:val="left" w:pos="7513"/>
        </w:tabs>
        <w:adjustRightInd w:val="0"/>
        <w:snapToGrid w:val="0"/>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九、市对区转移支付支出预算表</w:t>
      </w:r>
    </w:p>
    <w:p w14:paraId="780DC986">
      <w:pPr>
        <w:shd w:val="clear" w:color="auto" w:fill="FFFFFF"/>
        <w:tabs>
          <w:tab w:val="left" w:pos="7513"/>
        </w:tabs>
        <w:adjustRightInd w:val="0"/>
        <w:snapToGrid w:val="0"/>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十、部门整体支出绩效目标表</w:t>
      </w:r>
    </w:p>
    <w:p w14:paraId="6EBF7BCB">
      <w:pPr>
        <w:shd w:val="clear" w:color="auto" w:fill="FFFFFF"/>
        <w:tabs>
          <w:tab w:val="left" w:pos="7513"/>
        </w:tabs>
        <w:adjustRightInd w:val="0"/>
        <w:snapToGrid w:val="0"/>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十一、一级项目绩效目标表</w:t>
      </w:r>
    </w:p>
    <w:p w14:paraId="3528A033">
      <w:pPr>
        <w:shd w:val="clear" w:color="auto" w:fill="FFFFFF"/>
        <w:tabs>
          <w:tab w:val="left" w:pos="7513"/>
        </w:tabs>
        <w:adjustRightInd w:val="0"/>
        <w:snapToGrid w:val="0"/>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十二、项目支出预算压减情况表</w:t>
      </w:r>
    </w:p>
    <w:p w14:paraId="4D47039E"/>
    <w:p w14:paraId="2DC65EB4"/>
    <w:sectPr>
      <w:footerReference r:id="rId3" w:type="default"/>
      <w:pgSz w:w="11906" w:h="16838"/>
      <w:pgMar w:top="1440" w:right="1558"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Times">
    <w:altName w:val="Times New Roman"/>
    <w:panose1 w:val="02020603050405020304"/>
    <w:charset w:val="00"/>
    <w:family w:val="roman"/>
    <w:pitch w:val="default"/>
    <w:sig w:usb0="00000000" w:usb1="00000000" w:usb2="00000009" w:usb3="00000000" w:csb0="000001FF"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4444F">
    <w:pPr>
      <w:pStyle w:val="2"/>
      <w:jc w:val="center"/>
    </w:pPr>
    <w:r>
      <w:fldChar w:fldCharType="begin"/>
    </w:r>
    <w:r>
      <w:instrText xml:space="preserve">PAGE   \* MERGEFORMAT</w:instrText>
    </w:r>
    <w:r>
      <w:fldChar w:fldCharType="separate"/>
    </w:r>
    <w:r>
      <w:rPr>
        <w:lang w:val="zh-CN"/>
      </w:rPr>
      <w:t>1</w:t>
    </w:r>
    <w:r>
      <w:fldChar w:fldCharType="end"/>
    </w:r>
  </w:p>
  <w:p w14:paraId="1C559F18">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0E30FE"/>
    <w:rsid w:val="002F0AC2"/>
    <w:rsid w:val="004A10F3"/>
    <w:rsid w:val="0096742C"/>
    <w:rsid w:val="009F052F"/>
    <w:rsid w:val="00AB0719"/>
    <w:rsid w:val="00BC2BC2"/>
    <w:rsid w:val="00D60A0F"/>
    <w:rsid w:val="00F77280"/>
    <w:rsid w:val="26F24121"/>
    <w:rsid w:val="4AF8458F"/>
    <w:rsid w:val="6C0E30FE"/>
    <w:rsid w:val="6FF75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szCs w:val="24"/>
    </w:rPr>
  </w:style>
  <w:style w:type="character" w:customStyle="1" w:styleId="7">
    <w:name w:val="页眉 Char"/>
    <w:basedOn w:val="6"/>
    <w:link w:val="3"/>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5752</Words>
  <Characters>6322</Characters>
  <Lines>215</Lines>
  <Paragraphs>213</Paragraphs>
  <TotalTime>1</TotalTime>
  <ScaleCrop>false</ScaleCrop>
  <LinksUpToDate>false</LinksUpToDate>
  <CharactersWithSpaces>6351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2020-02-07T08:04:00Z</dcterms:created>
  <dc:creator>林希</dc:creator>
  <cp:lastModifiedBy>柒。</cp:lastModifiedBy>
  <dcterms:modified xsi:type="dcterms:W3CDTF">2025-09-24T02:16:17Z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eyJoZGlkIjoiNzk5NDJkMzNhNjQzNjAyYWM1NmU4NTQ3YzgwODQzNDYiLCJ1c2VySWQiOiIzOTE2NDQzNDcifQ==</vt:lpwstr>
  </property>
  <property fmtid="{D5CDD505-2E9C-101B-9397-08002B2CF9AE}" pid="4" name="ICV">
    <vt:lpwstr>3ABD75E285964DBFAEDC6F923FFD8EC1_13</vt:lpwstr>
  </property>
</Properties>
</file>