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before="100" w:beforeAutospacing="1" w:after="100" w:afterAutospacing="1"/>
        <w:rPr>
          <w:sz w:val="32"/>
          <w:szCs w:val="32"/>
        </w:rPr>
      </w:pPr>
      <w:r>
        <w:rPr>
          <w:rFonts w:hint="eastAsia" w:ascii="Calibri" w:hAnsi="Calibri" w:eastAsia="宋体"/>
          <w:sz w:val="32"/>
          <w:szCs w:val="32"/>
        </w:rPr>
        <w:t>附件</w:t>
      </w:r>
      <w:r>
        <w:rPr>
          <w:sz w:val="32"/>
          <w:szCs w:val="32"/>
        </w:rPr>
        <w:t>1-2</w:t>
      </w:r>
    </w:p>
    <w:p>
      <w:pPr>
        <w:shd w:val="clear" w:color="auto" w:fill="FFFFFF"/>
        <w:spacing w:before="100" w:beforeAutospacing="1" w:after="100" w:afterAutospacing="1"/>
        <w:jc w:val="center"/>
        <w:rPr>
          <w:sz w:val="84"/>
          <w:szCs w:val="84"/>
        </w:rPr>
      </w:pPr>
    </w:p>
    <w:p>
      <w:pPr>
        <w:shd w:val="clear" w:color="auto" w:fill="FFFFFF"/>
        <w:spacing w:before="100" w:beforeAutospacing="1" w:after="100" w:afterAutospacing="1"/>
        <w:jc w:val="center"/>
        <w:rPr>
          <w:sz w:val="84"/>
          <w:szCs w:val="84"/>
        </w:rPr>
      </w:pPr>
    </w:p>
    <w:p>
      <w:pPr>
        <w:shd w:val="clear" w:color="auto" w:fill="FFFFFF"/>
        <w:spacing w:before="100" w:beforeAutospacing="1" w:after="100" w:afterAutospacing="1"/>
        <w:jc w:val="center"/>
        <w:rPr>
          <w:rFonts w:ascii="方正小标宋简体" w:eastAsia="方正小标宋简体"/>
          <w:sz w:val="84"/>
          <w:szCs w:val="84"/>
        </w:rPr>
      </w:pPr>
      <w:r>
        <w:rPr>
          <w:rFonts w:hint="eastAsia" w:ascii="方正小标宋简体" w:eastAsia="方正小标宋简体"/>
          <w:sz w:val="84"/>
          <w:szCs w:val="84"/>
        </w:rPr>
        <w:t>2019年度</w:t>
      </w:r>
    </w:p>
    <w:p>
      <w:pPr>
        <w:shd w:val="clear" w:color="auto" w:fill="FFFFFF"/>
        <w:spacing w:before="100" w:beforeAutospacing="1" w:after="100" w:afterAutospacing="1"/>
        <w:jc w:val="center"/>
        <w:rPr>
          <w:rFonts w:ascii="方正小标宋简体" w:eastAsia="方正小标宋简体"/>
          <w:sz w:val="84"/>
          <w:szCs w:val="84"/>
        </w:rPr>
      </w:pPr>
      <w:r>
        <w:rPr>
          <w:rFonts w:hint="eastAsia" w:ascii="方正小标宋简体" w:eastAsia="方正小标宋简体"/>
          <w:sz w:val="84"/>
          <w:szCs w:val="84"/>
        </w:rPr>
        <w:t>厦门市中级人民法院决算</w:t>
      </w:r>
    </w:p>
    <w:p>
      <w:pPr>
        <w:shd w:val="clear" w:color="auto" w:fill="FFFFFF"/>
      </w:pPr>
      <w:r>
        <w:t xml:space="preserve">  </w:t>
      </w:r>
    </w:p>
    <w:p>
      <w:pPr>
        <w:shd w:val="clear" w:color="auto" w:fill="FFFFFF"/>
        <w:spacing w:before="100" w:beforeAutospacing="1" w:after="100" w:afterAutospacing="1"/>
        <w:rPr>
          <w:sz w:val="84"/>
          <w:szCs w:val="84"/>
        </w:rPr>
      </w:pPr>
    </w:p>
    <w:p>
      <w:pPr>
        <w:shd w:val="clear" w:color="auto" w:fill="FFFFFF"/>
        <w:spacing w:before="100" w:beforeAutospacing="1" w:after="100" w:afterAutospacing="1"/>
        <w:rPr>
          <w:sz w:val="84"/>
          <w:szCs w:val="84"/>
        </w:rPr>
      </w:pPr>
    </w:p>
    <w:p>
      <w:pPr>
        <w:shd w:val="clear" w:color="auto" w:fill="FFFFFF"/>
        <w:spacing w:before="100" w:beforeAutospacing="1" w:after="100" w:afterAutospacing="1"/>
        <w:rPr>
          <w:sz w:val="32"/>
          <w:szCs w:val="32"/>
        </w:rPr>
      </w:pPr>
    </w:p>
    <w:p>
      <w:pPr>
        <w:shd w:val="clear" w:color="auto" w:fill="FFFFFF"/>
        <w:spacing w:before="100" w:beforeAutospacing="1" w:after="100" w:afterAutospacing="1"/>
        <w:jc w:val="center"/>
        <w:rPr>
          <w:rFonts w:ascii="仿宋" w:hAnsi="仿宋" w:eastAsia="仿宋"/>
          <w:b/>
          <w:sz w:val="32"/>
          <w:szCs w:val="32"/>
        </w:rPr>
      </w:pPr>
      <w:r>
        <w:rPr>
          <w:rFonts w:hint="eastAsia" w:ascii="仿宋" w:hAnsi="仿宋" w:eastAsia="仿宋"/>
          <w:b/>
          <w:sz w:val="32"/>
          <w:szCs w:val="32"/>
        </w:rPr>
        <w:t>目 录</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b/>
          <w:sz w:val="32"/>
          <w:szCs w:val="32"/>
        </w:rPr>
        <w:t>第一部分 部门概况</w:t>
      </w:r>
      <w:r>
        <w:rPr>
          <w:rFonts w:hint="eastAsia" w:ascii="仿宋" w:hAnsi="仿宋" w:eastAsia="仿宋"/>
          <w:sz w:val="32"/>
          <w:szCs w:val="32"/>
        </w:rPr>
        <w:t>1</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一、部门主要职责1</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二、部门决算单位基本情况1</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三、部门主要工作总结2</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b/>
          <w:sz w:val="32"/>
          <w:szCs w:val="32"/>
        </w:rPr>
        <w:t xml:space="preserve">第二部分 </w:t>
      </w:r>
      <w:r>
        <w:rPr>
          <w:rFonts w:hint="eastAsia" w:ascii="仿宋" w:hAnsi="仿宋" w:eastAsia="仿宋" w:cs="仿宋_GB2312"/>
          <w:sz w:val="32"/>
          <w:szCs w:val="32"/>
        </w:rPr>
        <w:t>2019</w:t>
      </w:r>
      <w:r>
        <w:rPr>
          <w:rFonts w:hint="eastAsia" w:ascii="仿宋" w:hAnsi="仿宋" w:eastAsia="仿宋"/>
          <w:b/>
          <w:sz w:val="32"/>
          <w:szCs w:val="32"/>
        </w:rPr>
        <w:t>年度部门决算表</w:t>
      </w:r>
      <w:r>
        <w:rPr>
          <w:rFonts w:hint="eastAsia" w:ascii="仿宋" w:hAnsi="仿宋" w:eastAsia="仿宋"/>
          <w:sz w:val="32"/>
          <w:szCs w:val="32"/>
        </w:rPr>
        <w:t>3</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一、收入支出决算总表3</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二、收入决算表4</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三、支出决算表5</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四、财政拨款收入支出决算总表6</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五、一般公共预算财政拨款支出决算表 7</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六、</w:t>
      </w:r>
      <w:r>
        <w:rPr>
          <w:rFonts w:hint="eastAsia" w:ascii="仿宋" w:hAnsi="仿宋" w:eastAsia="仿宋"/>
          <w:spacing w:val="-14"/>
          <w:sz w:val="32"/>
          <w:szCs w:val="32"/>
        </w:rPr>
        <w:t>一般公共预算财政拨款支出决算明细表</w:t>
      </w:r>
      <w:r>
        <w:rPr>
          <w:rFonts w:hint="eastAsia" w:ascii="仿宋" w:hAnsi="仿宋" w:eastAsia="仿宋"/>
          <w:sz w:val="32"/>
          <w:szCs w:val="32"/>
        </w:rPr>
        <w:t>8</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七、一般公共预算财政拨款基本支出决算表9</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八、政府性基金预算财政拨款收入支出决算表 11</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九、</w:t>
      </w:r>
      <w:r>
        <w:rPr>
          <w:rFonts w:hint="eastAsia" w:ascii="仿宋" w:hAnsi="仿宋" w:eastAsia="仿宋"/>
          <w:spacing w:val="-14"/>
          <w:sz w:val="32"/>
          <w:szCs w:val="32"/>
        </w:rPr>
        <w:t>机构运行信息表</w:t>
      </w:r>
      <w:r>
        <w:rPr>
          <w:rFonts w:hint="eastAsia" w:ascii="仿宋" w:hAnsi="仿宋" w:eastAsia="仿宋"/>
          <w:sz w:val="32"/>
          <w:szCs w:val="32"/>
        </w:rPr>
        <w:t>12</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b/>
          <w:sz w:val="32"/>
          <w:szCs w:val="32"/>
        </w:rPr>
        <w:t xml:space="preserve">第三部分 </w:t>
      </w:r>
      <w:r>
        <w:rPr>
          <w:rFonts w:hint="eastAsia" w:ascii="仿宋" w:hAnsi="仿宋" w:eastAsia="仿宋" w:cs="仿宋_GB2312"/>
          <w:sz w:val="32"/>
          <w:szCs w:val="32"/>
        </w:rPr>
        <w:t>2019</w:t>
      </w:r>
      <w:r>
        <w:rPr>
          <w:rFonts w:hint="eastAsia" w:ascii="仿宋" w:hAnsi="仿宋" w:eastAsia="仿宋"/>
          <w:b/>
          <w:sz w:val="32"/>
          <w:szCs w:val="32"/>
        </w:rPr>
        <w:t>年度部门决算情况说明</w:t>
      </w:r>
      <w:r>
        <w:rPr>
          <w:rFonts w:hint="eastAsia" w:ascii="仿宋" w:hAnsi="仿宋" w:eastAsia="仿宋"/>
          <w:sz w:val="32"/>
          <w:szCs w:val="32"/>
        </w:rPr>
        <w:t>13</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一、收入支出决算总体情况说明13</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二、一般公共预算财政拨款支出决算情况说明14</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三、政府性基金支出决算情况说明16</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四、一般公共预算财政拨款基本支出决算情况说明16</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五、一般公共预算财政拨款“三公”经费支出决算情况说明17</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六、预算绩效情况说明18</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sz w:val="32"/>
          <w:szCs w:val="32"/>
        </w:rPr>
        <w:t>七、其他重要事项情况说明19</w:t>
      </w:r>
    </w:p>
    <w:p>
      <w:pPr>
        <w:shd w:val="clear" w:color="auto" w:fill="FFFFFF"/>
        <w:spacing w:before="100" w:beforeAutospacing="1" w:after="100" w:afterAutospacing="1"/>
        <w:rPr>
          <w:rFonts w:ascii="仿宋" w:hAnsi="仿宋" w:eastAsia="仿宋"/>
          <w:sz w:val="32"/>
          <w:szCs w:val="32"/>
        </w:rPr>
      </w:pPr>
      <w:r>
        <w:rPr>
          <w:rFonts w:hint="eastAsia" w:ascii="仿宋" w:hAnsi="仿宋" w:eastAsia="仿宋"/>
          <w:b/>
          <w:sz w:val="32"/>
          <w:szCs w:val="32"/>
        </w:rPr>
        <w:t>第四部分 名词解释</w:t>
      </w:r>
      <w:r>
        <w:rPr>
          <w:rFonts w:hint="eastAsia" w:ascii="仿宋" w:hAnsi="仿宋" w:eastAsia="仿宋"/>
          <w:sz w:val="32"/>
          <w:szCs w:val="32"/>
        </w:rPr>
        <w:t>20</w:t>
      </w:r>
    </w:p>
    <w:p>
      <w:pPr>
        <w:shd w:val="clear" w:color="auto" w:fill="FFFFFF"/>
        <w:spacing w:before="100" w:beforeAutospacing="1" w:after="100" w:afterAutospacing="1"/>
        <w:rPr>
          <w:rFonts w:ascii="仿宋" w:hAnsi="仿宋" w:eastAsia="仿宋"/>
          <w:sz w:val="32"/>
          <w:szCs w:val="32"/>
        </w:rPr>
      </w:pPr>
    </w:p>
    <w:p>
      <w:pPr>
        <w:shd w:val="clear" w:color="auto" w:fill="FFFFFF"/>
        <w:spacing w:before="100" w:beforeAutospacing="1" w:after="100" w:afterAutospacing="1"/>
        <w:rPr>
          <w:rFonts w:ascii="仿宋" w:hAnsi="仿宋" w:eastAsia="仿宋"/>
          <w:sz w:val="32"/>
          <w:szCs w:val="32"/>
        </w:rPr>
      </w:pPr>
    </w:p>
    <w:p>
      <w:pPr>
        <w:rPr>
          <w:rFonts w:ascii="黑体" w:hAnsi="黑体" w:eastAsia="黑体"/>
          <w:sz w:val="36"/>
          <w:szCs w:val="36"/>
        </w:rPr>
        <w:sectPr>
          <w:footerReference r:id="rId4" w:type="default"/>
          <w:pgSz w:w="11907" w:h="16840"/>
          <w:pgMar w:top="1440" w:right="1800" w:bottom="1440" w:left="1800" w:header="851" w:footer="992" w:gutter="0"/>
          <w:pgNumType w:start="1"/>
          <w:cols w:space="720" w:num="1"/>
          <w:docGrid w:type="lines" w:linePitch="312"/>
        </w:sectPr>
      </w:pPr>
      <w:bookmarkStart w:id="0" w:name="_GoBack"/>
      <w:bookmarkEnd w:id="0"/>
    </w:p>
    <w:p>
      <w:pPr>
        <w:rPr>
          <w:rFonts w:ascii="黑体" w:hAnsi="黑体" w:eastAsia="黑体"/>
          <w:sz w:val="30"/>
          <w:szCs w:val="30"/>
        </w:rPr>
      </w:pPr>
    </w:p>
    <w:p>
      <w:pPr>
        <w:shd w:val="clear" w:color="auto" w:fill="FFFFFF"/>
        <w:spacing w:before="100" w:beforeAutospacing="1" w:after="100" w:afterAutospacing="1"/>
        <w:jc w:val="center"/>
        <w:rPr>
          <w:rFonts w:ascii="黑体" w:hAnsi="黑体" w:eastAsia="黑体"/>
          <w:sz w:val="36"/>
          <w:szCs w:val="36"/>
        </w:rPr>
      </w:pPr>
      <w:r>
        <w:rPr>
          <w:rFonts w:hint="eastAsia" w:ascii="黑体" w:hAnsi="黑体" w:eastAsia="黑体"/>
          <w:sz w:val="36"/>
          <w:szCs w:val="36"/>
        </w:rPr>
        <w:t>第一部分 部门概况</w:t>
      </w:r>
    </w:p>
    <w:p>
      <w:pPr>
        <w:shd w:val="clear" w:color="auto" w:fill="FFFFFF"/>
        <w:spacing w:before="100" w:beforeAutospacing="1" w:after="100" w:afterAutospacing="1"/>
        <w:jc w:val="center"/>
        <w:rPr>
          <w:rFonts w:ascii="黑体" w:hAnsi="黑体" w:eastAsia="黑体"/>
          <w:sz w:val="36"/>
          <w:szCs w:val="36"/>
        </w:rPr>
      </w:pPr>
    </w:p>
    <w:p>
      <w:pPr>
        <w:shd w:val="clear" w:color="auto" w:fill="FFFFFF"/>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一、部门主要职责</w:t>
      </w:r>
    </w:p>
    <w:p>
      <w:pPr>
        <w:shd w:val="clear" w:color="auto" w:fill="FFFFFF"/>
        <w:wordWrap w:val="0"/>
        <w:spacing w:line="620" w:lineRule="atLeast"/>
        <w:ind w:firstLine="640"/>
        <w:rPr>
          <w:rFonts w:ascii="仿宋" w:hAnsi="仿宋" w:eastAsia="仿宋"/>
          <w:sz w:val="32"/>
          <w:szCs w:val="32"/>
        </w:rPr>
      </w:pPr>
      <w:r>
        <w:rPr>
          <w:rFonts w:hint="eastAsia" w:ascii="仿宋" w:hAnsi="仿宋" w:eastAsia="仿宋"/>
          <w:sz w:val="32"/>
          <w:szCs w:val="32"/>
        </w:rPr>
        <w:t>厦门市中级人民法院的主要职责是：巩固党的执政地位、维护国家长治久安、保障人民群众安居乐业，促进社会主义物质文明、政治文明、精神文明与和谐社会建设协调建设，积极运用司法手段化解社会矛盾，服务经济建设促进改革发展，全力维护社会稳定，为社会经济发展创造良好的法治环境。</w:t>
      </w:r>
    </w:p>
    <w:p>
      <w:pPr>
        <w:shd w:val="clear" w:color="auto" w:fill="FFFFFF"/>
        <w:wordWrap w:val="0"/>
        <w:spacing w:line="620" w:lineRule="atLeast"/>
        <w:ind w:firstLine="640"/>
        <w:rPr>
          <w:rFonts w:ascii="仿宋" w:hAnsi="仿宋" w:eastAsia="仿宋"/>
          <w:sz w:val="32"/>
          <w:szCs w:val="32"/>
        </w:rPr>
      </w:pPr>
      <w:r>
        <w:rPr>
          <w:rFonts w:hint="eastAsia" w:ascii="仿宋" w:hAnsi="仿宋" w:eastAsia="仿宋"/>
          <w:sz w:val="32"/>
          <w:szCs w:val="32"/>
        </w:rPr>
        <w:t>（一）依法审理法律规定由中级法院管辖的刑事、民事、行政等一、二审案件、减刑假释案件。</w:t>
      </w:r>
    </w:p>
    <w:p>
      <w:pPr>
        <w:shd w:val="clear" w:color="auto" w:fill="FFFFFF"/>
        <w:wordWrap w:val="0"/>
        <w:spacing w:line="620" w:lineRule="atLeast"/>
        <w:ind w:firstLine="640"/>
        <w:rPr>
          <w:rFonts w:ascii="仿宋" w:hAnsi="仿宋" w:eastAsia="仿宋"/>
          <w:sz w:val="32"/>
          <w:szCs w:val="32"/>
        </w:rPr>
      </w:pPr>
      <w:r>
        <w:rPr>
          <w:rFonts w:hint="eastAsia" w:ascii="仿宋" w:hAnsi="仿宋" w:eastAsia="仿宋"/>
          <w:sz w:val="32"/>
          <w:szCs w:val="32"/>
        </w:rPr>
        <w:t>（二）依法审理由省高级法院指定管辖的各类案件。</w:t>
      </w:r>
    </w:p>
    <w:p>
      <w:pPr>
        <w:shd w:val="clear" w:color="auto" w:fill="FFFFFF"/>
        <w:wordWrap w:val="0"/>
        <w:spacing w:line="620" w:lineRule="atLeast"/>
        <w:ind w:firstLine="640"/>
        <w:rPr>
          <w:rFonts w:ascii="仿宋" w:hAnsi="仿宋" w:eastAsia="仿宋"/>
          <w:sz w:val="32"/>
          <w:szCs w:val="32"/>
        </w:rPr>
      </w:pPr>
      <w:r>
        <w:rPr>
          <w:rFonts w:hint="eastAsia" w:ascii="仿宋" w:hAnsi="仿宋" w:eastAsia="仿宋"/>
          <w:sz w:val="32"/>
          <w:szCs w:val="32"/>
        </w:rPr>
        <w:t>（三）受理不服全市两级法院生效裁判的各类申诉和再审申请，对其中确有错误的依法提起再审。</w:t>
      </w:r>
    </w:p>
    <w:p>
      <w:pPr>
        <w:shd w:val="clear" w:color="auto" w:fill="FFFFFF"/>
        <w:wordWrap w:val="0"/>
        <w:spacing w:line="620" w:lineRule="atLeast"/>
        <w:ind w:firstLine="640"/>
        <w:rPr>
          <w:rFonts w:ascii="仿宋" w:hAnsi="仿宋" w:eastAsia="仿宋"/>
          <w:sz w:val="32"/>
          <w:szCs w:val="32"/>
        </w:rPr>
      </w:pPr>
      <w:r>
        <w:rPr>
          <w:rFonts w:hint="eastAsia" w:ascii="仿宋" w:hAnsi="仿宋" w:eastAsia="仿宋"/>
          <w:sz w:val="32"/>
          <w:szCs w:val="32"/>
        </w:rPr>
        <w:t>（四）依法审理由检察院提出的抗诉案件。</w:t>
      </w:r>
    </w:p>
    <w:p>
      <w:pPr>
        <w:shd w:val="clear" w:color="auto" w:fill="FFFFFF"/>
        <w:wordWrap w:val="0"/>
        <w:spacing w:line="620" w:lineRule="atLeast"/>
        <w:ind w:firstLine="640"/>
        <w:rPr>
          <w:rFonts w:ascii="仿宋" w:hAnsi="仿宋" w:eastAsia="仿宋"/>
          <w:sz w:val="32"/>
          <w:szCs w:val="32"/>
        </w:rPr>
      </w:pPr>
      <w:r>
        <w:rPr>
          <w:rFonts w:hint="eastAsia" w:ascii="仿宋" w:hAnsi="仿宋" w:eastAsia="仿宋"/>
          <w:sz w:val="32"/>
          <w:szCs w:val="32"/>
        </w:rPr>
        <w:t>（五）依法办理本院一审生效法律文书及其它依法具有强制执行效力文书的执行工作，统一管理和协调全市法院的执行工作。</w:t>
      </w:r>
    </w:p>
    <w:p>
      <w:pPr>
        <w:shd w:val="clear" w:color="auto" w:fill="FFFFFF"/>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二、部门决算单位基本情况</w:t>
      </w:r>
    </w:p>
    <w:p>
      <w:pPr>
        <w:shd w:val="clear" w:color="auto" w:fill="FFFFFF"/>
        <w:tabs>
          <w:tab w:val="left" w:pos="7513"/>
        </w:tabs>
        <w:adjustRightInd w:val="0"/>
        <w:snapToGrid w:val="0"/>
        <w:spacing w:before="100" w:beforeAutospacing="1" w:after="100" w:afterAutospacing="1" w:line="600" w:lineRule="exact"/>
        <w:ind w:firstLine="640" w:firstLineChars="200"/>
      </w:pPr>
      <w:r>
        <w:rPr>
          <w:rFonts w:hint="eastAsia" w:ascii="仿宋" w:hAnsi="仿宋" w:eastAsia="仿宋" w:cs="仿宋_GB2312"/>
          <w:sz w:val="32"/>
          <w:szCs w:val="32"/>
        </w:rPr>
        <w:t>从决算单位构成看，厦门市中级人民法院</w:t>
      </w:r>
      <w:r>
        <w:rPr>
          <w:rFonts w:hint="eastAsia" w:ascii="仿宋" w:hAnsi="仿宋" w:eastAsia="仿宋"/>
          <w:sz w:val="32"/>
          <w:szCs w:val="32"/>
        </w:rPr>
        <w:t>包括</w:t>
      </w:r>
      <w:r>
        <w:rPr>
          <w:rFonts w:hint="eastAsia" w:ascii="仿宋" w:hAnsi="仿宋" w:eastAsia="仿宋" w:cs="仿宋_GB2312"/>
          <w:sz w:val="32"/>
          <w:szCs w:val="32"/>
        </w:rPr>
        <w:t>25</w:t>
      </w:r>
      <w:r>
        <w:rPr>
          <w:rFonts w:hint="eastAsia" w:ascii="仿宋" w:hAnsi="仿宋" w:eastAsia="仿宋"/>
          <w:sz w:val="32"/>
          <w:szCs w:val="32"/>
        </w:rPr>
        <w:t>个机关行政处室，其中：列入</w:t>
      </w:r>
      <w:r>
        <w:rPr>
          <w:rFonts w:hint="eastAsia" w:ascii="仿宋" w:hAnsi="仿宋" w:eastAsia="仿宋" w:cs="仿宋_GB2312"/>
          <w:sz w:val="32"/>
          <w:szCs w:val="32"/>
        </w:rPr>
        <w:t>2019</w:t>
      </w:r>
      <w:r>
        <w:rPr>
          <w:rFonts w:hint="eastAsia" w:ascii="仿宋" w:hAnsi="仿宋" w:eastAsia="仿宋"/>
          <w:sz w:val="32"/>
          <w:szCs w:val="32"/>
        </w:rPr>
        <w:t>年部门决算编制范围的单位详细情况见下表:</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rPr>
          <w:trHeight w:val="664"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cs="仿宋_GB2312"/>
                <w:sz w:val="32"/>
                <w:szCs w:val="32"/>
              </w:rPr>
            </w:pPr>
            <w:r>
              <w:rPr>
                <w:rFonts w:hint="eastAsia" w:ascii="仿宋" w:hAnsi="仿宋" w:eastAsia="仿宋" w:cs="仿宋_GB2312"/>
                <w:sz w:val="32"/>
                <w:szCs w:val="32"/>
              </w:rPr>
              <w:t>经费性质</w:t>
            </w:r>
          </w:p>
        </w:tc>
        <w:tc>
          <w:tcPr>
            <w:tcW w:w="213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cs="仿宋_GB2312"/>
                <w:sz w:val="32"/>
                <w:szCs w:val="32"/>
              </w:rPr>
            </w:pPr>
            <w:r>
              <w:rPr>
                <w:rFonts w:hint="eastAsia" w:ascii="仿宋" w:hAnsi="仿宋" w:eastAsia="仿宋" w:cs="仿宋_GB2312"/>
                <w:sz w:val="32"/>
                <w:szCs w:val="32"/>
              </w:rPr>
              <w:t>人员编制数</w:t>
            </w:r>
          </w:p>
        </w:tc>
        <w:tc>
          <w:tcPr>
            <w:tcW w:w="213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trPr>
          <w:jc w:val="center"/>
        </w:trPr>
        <w:tc>
          <w:tcPr>
            <w:tcW w:w="213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before="100" w:beforeAutospacing="1" w:after="100" w:afterAutospacing="1" w:line="600" w:lineRule="exact"/>
              <w:rPr>
                <w:b/>
                <w:bCs/>
              </w:rPr>
            </w:pPr>
            <w:r>
              <w:rPr>
                <w:rFonts w:hint="eastAsia" w:ascii="仿宋" w:hAnsi="仿宋" w:eastAsia="仿宋"/>
                <w:b/>
                <w:bCs/>
                <w:sz w:val="32"/>
                <w:szCs w:val="32"/>
              </w:rPr>
              <w:t>厦门市中级人民法院</w:t>
            </w:r>
          </w:p>
        </w:tc>
        <w:tc>
          <w:tcPr>
            <w:tcW w:w="213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before="100" w:beforeAutospacing="1" w:after="100" w:afterAutospacing="1" w:line="600" w:lineRule="exact"/>
              <w:rPr>
                <w:b/>
                <w:bCs/>
              </w:rPr>
            </w:pPr>
            <w:r>
              <w:rPr>
                <w:rFonts w:hint="eastAsia" w:ascii="仿宋_GB2312" w:eastAsia="仿宋_GB2312"/>
                <w:b/>
                <w:bCs/>
                <w:sz w:val="32"/>
                <w:szCs w:val="32"/>
              </w:rPr>
              <w:t>公共财政预算拨款</w:t>
            </w:r>
          </w:p>
        </w:tc>
        <w:tc>
          <w:tcPr>
            <w:tcW w:w="213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before="100" w:beforeAutospacing="1" w:after="100" w:afterAutospacing="1" w:line="600" w:lineRule="exact"/>
              <w:rPr>
                <w:b/>
                <w:bCs/>
              </w:rPr>
            </w:pPr>
            <w:r>
              <w:rPr>
                <w:rFonts w:hint="eastAsia"/>
                <w:b/>
                <w:bCs/>
              </w:rPr>
              <w:t>274</w:t>
            </w:r>
          </w:p>
        </w:tc>
        <w:tc>
          <w:tcPr>
            <w:tcW w:w="213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before="100" w:beforeAutospacing="1" w:after="100" w:afterAutospacing="1" w:line="600" w:lineRule="exact"/>
              <w:rPr>
                <w:b/>
                <w:bCs/>
              </w:rPr>
            </w:pPr>
            <w:r>
              <w:rPr>
                <w:rFonts w:hint="eastAsia"/>
                <w:b/>
                <w:bCs/>
              </w:rPr>
              <w:t>259</w:t>
            </w:r>
          </w:p>
        </w:tc>
      </w:tr>
    </w:tbl>
    <w:p>
      <w:pPr>
        <w:shd w:val="clear" w:color="auto" w:fill="FFFFFF"/>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三、部门主要工作总结</w:t>
      </w:r>
    </w:p>
    <w:p>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厦门市中级人民法院主要任务是：以习近平新时代中国特色社会主义思想为指导，深入学习贯彻党的十九大精神，紧紧围绕中央、省委、市委和上级法院决策部署，大力推进“主动创稳”“铸魂创安”“强基创先”三大工程，着力“五高五创”，为建设高素质高颜值现代化国际化城市提供有力司法保障。</w:t>
      </w:r>
    </w:p>
    <w:p>
      <w:pPr>
        <w:spacing w:line="560" w:lineRule="exact"/>
        <w:ind w:left="641" w:leftChars="267"/>
        <w:rPr>
          <w:rFonts w:ascii="仿宋" w:hAnsi="仿宋" w:eastAsia="仿宋"/>
          <w:sz w:val="32"/>
          <w:szCs w:val="32"/>
        </w:rPr>
      </w:pPr>
      <w:r>
        <w:rPr>
          <w:rFonts w:hint="eastAsia" w:ascii="仿宋" w:hAnsi="仿宋" w:eastAsia="仿宋"/>
          <w:sz w:val="32"/>
          <w:szCs w:val="32"/>
        </w:rPr>
        <w:t>围绕上述任务，重点完成了以下工作：</w:t>
      </w:r>
    </w:p>
    <w:p>
      <w:pPr>
        <w:spacing w:line="560" w:lineRule="exact"/>
        <w:ind w:left="641" w:leftChars="267"/>
        <w:rPr>
          <w:rFonts w:ascii="仿宋" w:hAnsi="仿宋" w:eastAsia="仿宋"/>
          <w:sz w:val="32"/>
          <w:szCs w:val="32"/>
        </w:rPr>
      </w:pPr>
      <w:r>
        <w:rPr>
          <w:rFonts w:hint="eastAsia" w:ascii="仿宋" w:hAnsi="仿宋" w:eastAsia="仿宋"/>
          <w:sz w:val="32"/>
          <w:szCs w:val="32"/>
        </w:rPr>
        <w:t>（一）把牢政治方向，坚持党对法院工作的绝对领导。</w:t>
      </w:r>
    </w:p>
    <w:p>
      <w:pPr>
        <w:spacing w:line="560" w:lineRule="exact"/>
        <w:ind w:left="641" w:leftChars="267"/>
        <w:rPr>
          <w:rFonts w:ascii="仿宋" w:hAnsi="仿宋" w:eastAsia="仿宋"/>
          <w:sz w:val="32"/>
          <w:szCs w:val="32"/>
        </w:rPr>
      </w:pPr>
      <w:r>
        <w:rPr>
          <w:rFonts w:hint="eastAsia" w:ascii="仿宋" w:hAnsi="仿宋" w:eastAsia="仿宋"/>
          <w:sz w:val="32"/>
          <w:szCs w:val="32"/>
        </w:rPr>
        <w:t>（二）依法审理由省高级法院指定管辖的各类案件。</w:t>
      </w:r>
    </w:p>
    <w:p>
      <w:pPr>
        <w:spacing w:line="560" w:lineRule="exact"/>
        <w:ind w:left="641" w:leftChars="267"/>
        <w:rPr>
          <w:rFonts w:ascii="仿宋" w:hAnsi="仿宋" w:eastAsia="仿宋"/>
          <w:sz w:val="32"/>
          <w:szCs w:val="32"/>
        </w:rPr>
      </w:pPr>
      <w:r>
        <w:rPr>
          <w:rFonts w:hint="eastAsia" w:ascii="仿宋" w:hAnsi="仿宋" w:eastAsia="仿宋"/>
          <w:sz w:val="32"/>
          <w:szCs w:val="32"/>
        </w:rPr>
        <w:t>（三）以人民为中心，积极助推市域社会治理现代化。（四）深化司法体制综合配套改革，推进审判体系和审判能力现代化。</w:t>
      </w:r>
    </w:p>
    <w:p>
      <w:pPr>
        <w:shd w:val="clear" w:color="auto" w:fill="FFFFFF"/>
        <w:wordWrap w:val="0"/>
        <w:spacing w:line="620" w:lineRule="atLeast"/>
        <w:ind w:left="641" w:leftChars="267"/>
        <w:rPr>
          <w:rFonts w:ascii="仿宋" w:hAnsi="仿宋" w:eastAsia="仿宋"/>
          <w:sz w:val="32"/>
          <w:szCs w:val="32"/>
        </w:rPr>
      </w:pPr>
      <w:r>
        <w:rPr>
          <w:rFonts w:hint="eastAsia" w:ascii="仿宋" w:hAnsi="仿宋" w:eastAsia="仿宋"/>
          <w:sz w:val="32"/>
          <w:szCs w:val="32"/>
        </w:rPr>
        <w:t>（五）打造过硬队伍，为法院工作高质量发展提供坚强保障。</w:t>
      </w:r>
    </w:p>
    <w:p>
      <w:pPr>
        <w:shd w:val="clear" w:color="auto" w:fill="FFFFFF"/>
        <w:spacing w:before="100" w:beforeAutospacing="1" w:after="100" w:afterAutospacing="1" w:line="600" w:lineRule="exact"/>
        <w:jc w:val="center"/>
        <w:rPr>
          <w:rFonts w:ascii="黑体" w:hAnsi="黑体" w:eastAsia="黑体"/>
          <w:sz w:val="36"/>
          <w:szCs w:val="36"/>
        </w:rPr>
      </w:pPr>
      <w:r>
        <w:rPr>
          <w:rFonts w:hint="eastAsia" w:ascii="黑体" w:hAnsi="黑体" w:eastAsia="黑体"/>
          <w:sz w:val="36"/>
          <w:szCs w:val="36"/>
        </w:rPr>
        <w:t>第二部分 2019年度部门决算表</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 xml:space="preserve">收入支出决算总表 </w:t>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000"/>
        <w:gridCol w:w="1134"/>
        <w:gridCol w:w="1134"/>
        <w:gridCol w:w="2074"/>
        <w:gridCol w:w="1611"/>
        <w:gridCol w:w="1134"/>
      </w:tblGrid>
      <w:tr>
        <w:trPr>
          <w:trHeight w:val="540" w:hRule="atLeast"/>
        </w:trPr>
        <w:tc>
          <w:tcPr>
            <w:tcW w:w="9087" w:type="dxa"/>
            <w:gridSpan w:val="6"/>
            <w:vAlign w:val="bottom"/>
          </w:tcPr>
          <w:p>
            <w:pPr>
              <w:spacing w:before="100" w:beforeAutospacing="1" w:after="100" w:afterAutospacing="1"/>
              <w:jc w:val="center"/>
              <w:rPr>
                <w:rFonts w:ascii="黑体" w:hAnsi="Arial" w:eastAsia="黑体" w:cs="Arial"/>
                <w:sz w:val="44"/>
                <w:szCs w:val="44"/>
              </w:rPr>
            </w:pPr>
            <w:r>
              <w:rPr>
                <w:rFonts w:hint="eastAsia" w:ascii="黑体" w:hAnsi="Arial" w:eastAsia="黑体" w:cs="Arial"/>
                <w:color w:val="000000"/>
                <w:sz w:val="36"/>
                <w:szCs w:val="36"/>
              </w:rPr>
              <w:t>收支决算总表</w:t>
            </w:r>
          </w:p>
        </w:tc>
      </w:tr>
      <w:tr>
        <w:trPr>
          <w:trHeight w:val="300" w:hRule="atLeast"/>
        </w:trPr>
        <w:tc>
          <w:tcPr>
            <w:tcW w:w="2000" w:type="dxa"/>
            <w:vAlign w:val="bottom"/>
          </w:tcPr>
          <w:p>
            <w:r>
              <w:t> </w:t>
            </w:r>
          </w:p>
        </w:tc>
        <w:tc>
          <w:tcPr>
            <w:tcW w:w="2268" w:type="dxa"/>
            <w:gridSpan w:val="2"/>
            <w:vAlign w:val="bottom"/>
          </w:tcPr>
          <w:p>
            <w:r>
              <w:t> </w:t>
            </w:r>
          </w:p>
        </w:tc>
        <w:tc>
          <w:tcPr>
            <w:tcW w:w="2074" w:type="dxa"/>
            <w:vAlign w:val="bottom"/>
          </w:tcPr>
          <w:p>
            <w:r>
              <w:t> </w:t>
            </w:r>
          </w:p>
        </w:tc>
        <w:tc>
          <w:tcPr>
            <w:tcW w:w="2745" w:type="dxa"/>
            <w:gridSpan w:val="2"/>
            <w:vAlign w:val="bottom"/>
          </w:tcPr>
          <w:p>
            <w:r>
              <w:t> </w:t>
            </w:r>
          </w:p>
        </w:tc>
      </w:tr>
      <w:tr>
        <w:trPr>
          <w:trHeight w:val="300" w:hRule="atLeast"/>
        </w:trPr>
        <w:tc>
          <w:tcPr>
            <w:tcW w:w="4268" w:type="dxa"/>
            <w:gridSpan w:val="3"/>
            <w:vAlign w:val="bottom"/>
          </w:tcPr>
          <w:p>
            <w:r>
              <w:rPr>
                <w:rFonts w:hint="eastAsia" w:cs="Arial"/>
                <w:color w:val="000000"/>
                <w:sz w:val="22"/>
                <w:szCs w:val="22"/>
              </w:rPr>
              <w:t>编制单位：厦门市中级人民法院</w:t>
            </w:r>
            <w:r>
              <w:t> </w:t>
            </w:r>
          </w:p>
        </w:tc>
        <w:tc>
          <w:tcPr>
            <w:tcW w:w="4819" w:type="dxa"/>
            <w:gridSpan w:val="3"/>
            <w:vAlign w:val="bottom"/>
          </w:tcPr>
          <w:p>
            <w:pPr>
              <w:spacing w:before="100" w:beforeAutospacing="1" w:after="100" w:afterAutospacing="1"/>
              <w:jc w:val="right"/>
              <w:rPr>
                <w:rFonts w:cs="Arial"/>
                <w:sz w:val="20"/>
                <w:szCs w:val="20"/>
              </w:rPr>
            </w:pPr>
            <w:r>
              <w:rPr>
                <w:rFonts w:hint="eastAsia" w:cs="Arial"/>
                <w:sz w:val="20"/>
                <w:szCs w:val="20"/>
              </w:rPr>
              <w:t>单位：万元</w:t>
            </w:r>
          </w:p>
        </w:tc>
      </w:tr>
      <w:tr>
        <w:trPr>
          <w:trHeight w:val="308" w:hRule="atLeast"/>
        </w:trPr>
        <w:tc>
          <w:tcPr>
            <w:tcW w:w="4268" w:type="dxa"/>
            <w:gridSpan w:val="3"/>
            <w:tcBorders>
              <w:top w:val="single" w:color="000000" w:sz="8"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收入</w:t>
            </w:r>
          </w:p>
        </w:tc>
        <w:tc>
          <w:tcPr>
            <w:tcW w:w="4819" w:type="dxa"/>
            <w:gridSpan w:val="3"/>
            <w:tcBorders>
              <w:top w:val="single" w:color="000000" w:sz="8" w:space="0"/>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支出</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决算数</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项目(按支出功能分类)</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决算数</w:t>
            </w:r>
          </w:p>
        </w:tc>
      </w:tr>
      <w:tr>
        <w:trPr>
          <w:trHeight w:val="5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一、一般公共预算财政拨款收入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18,555.57</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一、一般公共服务支出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二、政府性基金预算财政拨款收入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二、外交支出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三、上级补助收入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三、国防支出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四、事业收入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四、公共安全支出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15,357.90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五、经营收入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五、教育支出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六、附属单位上缴收入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六、科学技术支出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219.73</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top"/>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七、其他收入</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289.15</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七、文化旅游体育与传媒支出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八、社会保障和就业支出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987.37</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九、卫生健康支出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313.71</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十、节能环保支出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十一、城乡社区支出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十二、农林水支出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十三、交通运输支出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十四、资源勘探信息等支出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十五、商业服务业等支出</w:t>
            </w:r>
          </w:p>
        </w:tc>
        <w:tc>
          <w:tcPr>
            <w:tcW w:w="1134" w:type="dxa"/>
            <w:tcBorders>
              <w:top w:val="nil"/>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十六、金融支出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single" w:color="auto" w:sz="4" w:space="0"/>
              <w:left w:val="single" w:color="000000" w:sz="8" w:space="0"/>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十七、援助其他地区支出</w:t>
            </w:r>
          </w:p>
        </w:tc>
        <w:tc>
          <w:tcPr>
            <w:tcW w:w="1134" w:type="dxa"/>
            <w:tcBorders>
              <w:top w:val="single" w:color="auto" w:sz="4" w:space="0"/>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十八、自然资源海洋气象等支出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single" w:color="auto" w:sz="4" w:space="0"/>
              <w:left w:val="single" w:color="000000" w:sz="8" w:space="0"/>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十九、住房保障支出</w:t>
            </w:r>
          </w:p>
        </w:tc>
        <w:tc>
          <w:tcPr>
            <w:tcW w:w="1134" w:type="dxa"/>
            <w:tcBorders>
              <w:top w:val="single" w:color="auto" w:sz="4" w:space="0"/>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二十、粮油物资储备支出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441" w:hRule="atLeast"/>
        </w:trPr>
        <w:tc>
          <w:tcPr>
            <w:tcW w:w="3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二十一、灾害防治及应急管理支出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single" w:color="auto" w:sz="4" w:space="0"/>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single" w:color="auto" w:sz="4" w:space="0"/>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二十二、其他支出</w:t>
            </w:r>
          </w:p>
        </w:tc>
        <w:tc>
          <w:tcPr>
            <w:tcW w:w="1134" w:type="dxa"/>
            <w:tcBorders>
              <w:top w:val="single" w:color="auto" w:sz="4" w:space="0"/>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二十三、债务还本支出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0.00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b/>
                <w:bCs/>
                <w:color w:val="000000"/>
                <w:sz w:val="22"/>
                <w:szCs w:val="22"/>
              </w:rPr>
            </w:pP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二十四、债务付息支出</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0.00</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本年收入合计</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18,844.72</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本年支出合计</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16,878.71</w:t>
            </w:r>
            <w:r>
              <w:rPr>
                <w:rFonts w:hint="eastAsia" w:cs="Arial"/>
                <w:color w:val="000000"/>
                <w:sz w:val="20"/>
                <w:szCs w:val="20"/>
              </w:rPr>
              <w:t>　</w:t>
            </w:r>
          </w:p>
        </w:tc>
      </w:tr>
      <w:tr>
        <w:trPr>
          <w:trHeight w:val="404"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用事业基金弥补收支差额</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结余分配</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年初结转和结余</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1,446.00</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年末结转和结余</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3,412.01</w:t>
            </w:r>
            <w:r>
              <w:rPr>
                <w:rFonts w:hint="eastAsia" w:cs="Arial"/>
                <w:color w:val="000000"/>
                <w:sz w:val="20"/>
                <w:szCs w:val="20"/>
              </w:rPr>
              <w:t>　</w:t>
            </w:r>
          </w:p>
        </w:tc>
      </w:tr>
      <w:tr>
        <w:trPr>
          <w:trHeight w:val="308" w:hRule="atLeast"/>
        </w:trPr>
        <w:tc>
          <w:tcPr>
            <w:tcW w:w="3134" w:type="dxa"/>
            <w:gridSpan w:val="2"/>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合计</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20,290.72</w:t>
            </w:r>
            <w:r>
              <w:rPr>
                <w:rFonts w:hint="eastAsia" w:cs="Arial"/>
                <w:color w:val="000000"/>
                <w:sz w:val="20"/>
                <w:szCs w:val="20"/>
              </w:rPr>
              <w:t>　</w:t>
            </w:r>
          </w:p>
        </w:tc>
        <w:tc>
          <w:tcPr>
            <w:tcW w:w="3685" w:type="dxa"/>
            <w:gridSpan w:val="2"/>
            <w:tcBorders>
              <w:top w:val="nil"/>
              <w:left w:val="nil"/>
              <w:bottom w:val="single" w:color="000000" w:sz="4" w:space="0"/>
              <w:right w:val="single" w:color="000000"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合计</w:t>
            </w:r>
          </w:p>
        </w:tc>
        <w:tc>
          <w:tcPr>
            <w:tcW w:w="1134"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20,290.72</w:t>
            </w:r>
            <w:r>
              <w:rPr>
                <w:rFonts w:hint="eastAsia" w:cs="Arial"/>
                <w:color w:val="000000"/>
                <w:sz w:val="20"/>
                <w:szCs w:val="20"/>
              </w:rPr>
              <w:t>　</w:t>
            </w:r>
          </w:p>
        </w:tc>
      </w:tr>
    </w:tbl>
    <w:p>
      <w:pPr>
        <w:shd w:val="clear" w:color="auto" w:fill="FFFFFF"/>
        <w:spacing w:before="100" w:beforeAutospacing="1" w:after="100" w:afterAutospacing="1"/>
      </w:pPr>
      <w:r>
        <w:t>注：本表金额转换为万元时，因四舍五入可能存在尾数差异。</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 xml:space="preserve">收入决算表 </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41"/>
        <w:gridCol w:w="309"/>
        <w:gridCol w:w="309"/>
        <w:gridCol w:w="2217"/>
        <w:gridCol w:w="1134"/>
        <w:gridCol w:w="1134"/>
        <w:gridCol w:w="496"/>
        <w:gridCol w:w="212"/>
        <w:gridCol w:w="709"/>
        <w:gridCol w:w="709"/>
        <w:gridCol w:w="709"/>
        <w:gridCol w:w="850"/>
      </w:tblGrid>
      <w:tr>
        <w:trPr>
          <w:gridAfter w:val="5"/>
          <w:wAfter w:w="3189" w:type="dxa"/>
          <w:trHeight w:val="600" w:hRule="atLeast"/>
        </w:trPr>
        <w:tc>
          <w:tcPr>
            <w:tcW w:w="6040" w:type="dxa"/>
            <w:gridSpan w:val="7"/>
            <w:vAlign w:val="bottom"/>
          </w:tcPr>
          <w:p>
            <w:pPr>
              <w:spacing w:before="100" w:beforeAutospacing="1" w:after="100" w:afterAutospacing="1"/>
              <w:jc w:val="center"/>
              <w:rPr>
                <w:rFonts w:ascii="黑体" w:hAnsi="Arial" w:eastAsia="黑体" w:cs="Arial"/>
                <w:color w:val="000000"/>
                <w:sz w:val="36"/>
                <w:szCs w:val="36"/>
              </w:rPr>
            </w:pPr>
            <w:r>
              <w:rPr>
                <w:rFonts w:hint="eastAsia" w:ascii="黑体" w:hAnsi="Arial" w:eastAsia="黑体" w:cs="Arial"/>
                <w:color w:val="000000"/>
                <w:sz w:val="36"/>
                <w:szCs w:val="36"/>
              </w:rPr>
              <w:t xml:space="preserve">          收入决算表</w:t>
            </w:r>
          </w:p>
        </w:tc>
      </w:tr>
      <w:tr>
        <w:trPr>
          <w:trHeight w:val="300" w:hRule="atLeast"/>
        </w:trPr>
        <w:tc>
          <w:tcPr>
            <w:tcW w:w="4410" w:type="dxa"/>
            <w:gridSpan w:val="5"/>
            <w:tcBorders>
              <w:top w:val="nil"/>
              <w:left w:val="nil"/>
              <w:bottom w:val="single" w:color="000000" w:sz="12" w:space="0"/>
              <w:right w:val="nil"/>
            </w:tcBorders>
            <w:shd w:val="clear" w:color="000000" w:fill="FFFFFF"/>
            <w:vAlign w:val="center"/>
          </w:tcPr>
          <w:p>
            <w:pPr>
              <w:rPr>
                <w:rFonts w:cs="Arial"/>
                <w:sz w:val="22"/>
                <w:szCs w:val="22"/>
              </w:rPr>
            </w:pPr>
          </w:p>
          <w:p>
            <w:pPr>
              <w:rPr>
                <w:rFonts w:cs="Arial"/>
                <w:sz w:val="22"/>
                <w:szCs w:val="22"/>
              </w:rPr>
            </w:pPr>
            <w:r>
              <w:rPr>
                <w:rFonts w:hint="eastAsia" w:cs="Arial"/>
                <w:sz w:val="22"/>
                <w:szCs w:val="22"/>
              </w:rPr>
              <w:t>编制单位：厦门市中级人民法院</w:t>
            </w:r>
          </w:p>
        </w:tc>
        <w:tc>
          <w:tcPr>
            <w:tcW w:w="1134" w:type="dxa"/>
            <w:tcBorders>
              <w:top w:val="nil"/>
              <w:left w:val="nil"/>
              <w:bottom w:val="single" w:color="000000" w:sz="12" w:space="0"/>
              <w:right w:val="nil"/>
            </w:tcBorders>
            <w:shd w:val="clear" w:color="000000" w:fill="FFFFFF"/>
            <w:vAlign w:val="center"/>
          </w:tcPr>
          <w:p>
            <w:pPr>
              <w:jc w:val="both"/>
              <w:rPr>
                <w:rFonts w:cs="Arial"/>
                <w:sz w:val="22"/>
                <w:szCs w:val="22"/>
              </w:rPr>
            </w:pPr>
          </w:p>
          <w:p>
            <w:pPr>
              <w:jc w:val="both"/>
              <w:rPr>
                <w:rFonts w:cs="Arial"/>
                <w:sz w:val="22"/>
                <w:szCs w:val="22"/>
              </w:rPr>
            </w:pPr>
          </w:p>
        </w:tc>
        <w:tc>
          <w:tcPr>
            <w:tcW w:w="708" w:type="dxa"/>
            <w:gridSpan w:val="2"/>
            <w:tcBorders>
              <w:top w:val="nil"/>
              <w:left w:val="nil"/>
              <w:bottom w:val="single" w:color="000000" w:sz="12" w:space="0"/>
              <w:right w:val="nil"/>
            </w:tcBorders>
            <w:shd w:val="clear" w:color="000000" w:fill="FFFFFF"/>
            <w:vAlign w:val="center"/>
          </w:tcPr>
          <w:p>
            <w:pPr>
              <w:jc w:val="both"/>
              <w:rPr>
                <w:rFonts w:cs="Arial"/>
                <w:sz w:val="18"/>
                <w:szCs w:val="18"/>
              </w:rPr>
            </w:pPr>
          </w:p>
        </w:tc>
        <w:tc>
          <w:tcPr>
            <w:tcW w:w="709" w:type="dxa"/>
            <w:tcBorders>
              <w:top w:val="nil"/>
              <w:left w:val="nil"/>
              <w:bottom w:val="single" w:color="000000" w:sz="12" w:space="0"/>
              <w:right w:val="nil"/>
            </w:tcBorders>
            <w:shd w:val="clear" w:color="000000" w:fill="FFFFFF"/>
            <w:vAlign w:val="center"/>
          </w:tcPr>
          <w:p>
            <w:pPr>
              <w:jc w:val="center"/>
              <w:rPr>
                <w:rFonts w:cs="Arial"/>
                <w:sz w:val="18"/>
                <w:szCs w:val="18"/>
              </w:rPr>
            </w:pPr>
            <w:r>
              <w:rPr>
                <w:rFonts w:hint="eastAsia" w:cs="Arial"/>
                <w:sz w:val="18"/>
                <w:szCs w:val="18"/>
              </w:rPr>
              <w:t>　</w:t>
            </w:r>
          </w:p>
        </w:tc>
        <w:tc>
          <w:tcPr>
            <w:tcW w:w="2268" w:type="dxa"/>
            <w:gridSpan w:val="3"/>
            <w:tcBorders>
              <w:top w:val="nil"/>
              <w:left w:val="nil"/>
              <w:bottom w:val="single" w:color="000000" w:sz="12" w:space="0"/>
              <w:right w:val="nil"/>
            </w:tcBorders>
            <w:shd w:val="clear" w:color="000000" w:fill="FFFFFF"/>
            <w:vAlign w:val="center"/>
          </w:tcPr>
          <w:p>
            <w:pPr>
              <w:jc w:val="center"/>
              <w:rPr>
                <w:rFonts w:cs="Arial"/>
                <w:sz w:val="18"/>
                <w:szCs w:val="18"/>
              </w:rPr>
            </w:pPr>
            <w:r>
              <w:rPr>
                <w:rFonts w:hint="eastAsia" w:cs="Arial"/>
                <w:sz w:val="18"/>
                <w:szCs w:val="18"/>
              </w:rPr>
              <w:t>　</w:t>
            </w:r>
          </w:p>
          <w:p>
            <w:pPr>
              <w:jc w:val="center"/>
              <w:rPr>
                <w:rFonts w:cs="Arial"/>
                <w:sz w:val="18"/>
                <w:szCs w:val="18"/>
              </w:rPr>
            </w:pPr>
            <w:r>
              <w:rPr>
                <w:rFonts w:hint="eastAsia" w:cs="Arial"/>
                <w:sz w:val="18"/>
                <w:szCs w:val="18"/>
              </w:rPr>
              <w:t>　</w:t>
            </w:r>
          </w:p>
          <w:p>
            <w:pPr>
              <w:jc w:val="right"/>
              <w:rPr>
                <w:rFonts w:cs="Arial"/>
                <w:sz w:val="22"/>
                <w:szCs w:val="22"/>
              </w:rPr>
            </w:pPr>
            <w:r>
              <w:rPr>
                <w:rFonts w:hint="eastAsia" w:cs="Arial"/>
                <w:sz w:val="22"/>
                <w:szCs w:val="22"/>
              </w:rPr>
              <w:t>金额单位：万元</w:t>
            </w:r>
          </w:p>
          <w:p>
            <w:pPr>
              <w:jc w:val="both"/>
              <w:rPr>
                <w:rFonts w:cs="Arial"/>
                <w:sz w:val="22"/>
                <w:szCs w:val="22"/>
              </w:rPr>
            </w:pPr>
          </w:p>
        </w:tc>
      </w:tr>
      <w:tr>
        <w:trPr>
          <w:trHeight w:val="260" w:hRule="atLeast"/>
        </w:trPr>
        <w:tc>
          <w:tcPr>
            <w:tcW w:w="3276" w:type="dxa"/>
            <w:gridSpan w:val="4"/>
            <w:tcBorders>
              <w:top w:val="single" w:color="000000" w:sz="12" w:space="0"/>
              <w:left w:val="single" w:color="000000" w:sz="12" w:space="0"/>
              <w:bottom w:val="single" w:color="000000" w:sz="4" w:space="0"/>
              <w:right w:val="single" w:color="000000" w:sz="4" w:space="0"/>
            </w:tcBorders>
            <w:shd w:val="clear" w:color="auto" w:fill="FFFFFF"/>
            <w:vAlign w:val="center"/>
          </w:tcPr>
          <w:p>
            <w:pPr>
              <w:rPr>
                <w:rFonts w:ascii="宋体" w:hAnsi="宋体" w:eastAsia="宋体" w:cs="Arial"/>
                <w:sz w:val="22"/>
                <w:szCs w:val="22"/>
              </w:rPr>
            </w:pPr>
            <w:r>
              <w:rPr>
                <w:rFonts w:hint="eastAsia" w:ascii="宋体" w:hAnsi="宋体" w:eastAsia="宋体" w:cs="Arial"/>
                <w:sz w:val="22"/>
                <w:szCs w:val="22"/>
              </w:rPr>
              <w:t>项目</w:t>
            </w:r>
          </w:p>
        </w:tc>
        <w:tc>
          <w:tcPr>
            <w:tcW w:w="1134"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本年收入合计</w:t>
            </w:r>
          </w:p>
        </w:tc>
        <w:tc>
          <w:tcPr>
            <w:tcW w:w="1134"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财政拨款收入</w:t>
            </w:r>
          </w:p>
        </w:tc>
        <w:tc>
          <w:tcPr>
            <w:tcW w:w="708" w:type="dxa"/>
            <w:gridSpan w:val="2"/>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上级补助收入</w:t>
            </w:r>
          </w:p>
        </w:tc>
        <w:tc>
          <w:tcPr>
            <w:tcW w:w="709"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事业收入</w:t>
            </w:r>
          </w:p>
        </w:tc>
        <w:tc>
          <w:tcPr>
            <w:tcW w:w="709"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经营收入</w:t>
            </w:r>
          </w:p>
        </w:tc>
        <w:tc>
          <w:tcPr>
            <w:tcW w:w="709"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附属单位上缴收入</w:t>
            </w:r>
          </w:p>
        </w:tc>
        <w:tc>
          <w:tcPr>
            <w:tcW w:w="850" w:type="dxa"/>
            <w:vMerge w:val="restart"/>
            <w:tcBorders>
              <w:top w:val="single" w:color="000000" w:sz="12" w:space="0"/>
              <w:left w:val="nil"/>
              <w:bottom w:val="single" w:color="000000" w:sz="4" w:space="0"/>
              <w:right w:val="single" w:color="000000" w:sz="12" w:space="0"/>
            </w:tcBorders>
            <w:shd w:val="clear" w:color="auto" w:fill="FFFFFF"/>
            <w:vAlign w:val="center"/>
          </w:tcPr>
          <w:p>
            <w:pPr>
              <w:jc w:val="center"/>
              <w:rPr>
                <w:rFonts w:ascii="宋体" w:hAnsi="宋体" w:eastAsia="宋体" w:cs="Arial"/>
                <w:sz w:val="22"/>
                <w:szCs w:val="22"/>
              </w:rPr>
            </w:pPr>
            <w:r>
              <w:rPr>
                <w:rFonts w:hint="eastAsia" w:ascii="宋体" w:hAnsi="宋体" w:eastAsia="宋体" w:cs="Arial"/>
                <w:sz w:val="22"/>
                <w:szCs w:val="22"/>
              </w:rPr>
              <w:t>其他收入</w:t>
            </w:r>
          </w:p>
        </w:tc>
      </w:tr>
      <w:tr>
        <w:trPr>
          <w:trHeight w:val="300" w:hRule="atLeast"/>
        </w:trPr>
        <w:tc>
          <w:tcPr>
            <w:tcW w:w="1059" w:type="dxa"/>
            <w:gridSpan w:val="3"/>
            <w:vMerge w:val="restart"/>
            <w:tcBorders>
              <w:top w:val="nil"/>
              <w:left w:val="single" w:color="000000" w:sz="12" w:space="0"/>
              <w:bottom w:val="single" w:color="000000" w:sz="4" w:space="0"/>
              <w:right w:val="single" w:color="000000" w:sz="4" w:space="0"/>
            </w:tcBorders>
            <w:shd w:val="clear" w:color="auto" w:fill="FFFFFF"/>
            <w:vAlign w:val="top"/>
          </w:tcPr>
          <w:p>
            <w:pPr>
              <w:jc w:val="both"/>
              <w:rPr>
                <w:rFonts w:cs="Arial"/>
                <w:sz w:val="22"/>
                <w:szCs w:val="22"/>
              </w:rPr>
            </w:pPr>
            <w:r>
              <w:rPr>
                <w:rFonts w:hint="eastAsia" w:cs="Arial"/>
                <w:sz w:val="22"/>
                <w:szCs w:val="22"/>
              </w:rPr>
              <w:t>支出功能分类科目编码</w:t>
            </w:r>
          </w:p>
        </w:tc>
        <w:tc>
          <w:tcPr>
            <w:tcW w:w="2217" w:type="dxa"/>
            <w:vMerge w:val="restart"/>
            <w:tcBorders>
              <w:top w:val="nil"/>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科目名称</w:t>
            </w:r>
          </w:p>
        </w:tc>
        <w:tc>
          <w:tcPr>
            <w:tcW w:w="1134"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2"/>
                <w:szCs w:val="22"/>
              </w:rPr>
            </w:pPr>
          </w:p>
        </w:tc>
        <w:tc>
          <w:tcPr>
            <w:tcW w:w="1134"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2"/>
                <w:szCs w:val="22"/>
              </w:rPr>
            </w:pPr>
          </w:p>
        </w:tc>
        <w:tc>
          <w:tcPr>
            <w:tcW w:w="708" w:type="dxa"/>
            <w:gridSpan w:val="2"/>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2"/>
                <w:szCs w:val="22"/>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2"/>
                <w:szCs w:val="22"/>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2"/>
                <w:szCs w:val="22"/>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2"/>
                <w:szCs w:val="22"/>
              </w:rPr>
            </w:pPr>
          </w:p>
        </w:tc>
        <w:tc>
          <w:tcPr>
            <w:tcW w:w="850" w:type="dxa"/>
            <w:vMerge w:val="continue"/>
            <w:tcBorders>
              <w:top w:val="nil"/>
              <w:left w:val="nil"/>
              <w:bottom w:val="single" w:color="000000" w:sz="4" w:space="0"/>
              <w:right w:val="single" w:color="000000" w:sz="12" w:space="0"/>
            </w:tcBorders>
            <w:shd w:val="clear" w:color="auto" w:fill="FFFFFF"/>
            <w:vAlign w:val="center"/>
          </w:tcPr>
          <w:p>
            <w:pPr>
              <w:rPr>
                <w:rFonts w:ascii="仿宋" w:hAnsi="仿宋" w:eastAsia="仿宋" w:cs="Arial"/>
                <w:sz w:val="22"/>
                <w:szCs w:val="22"/>
              </w:rPr>
            </w:pPr>
          </w:p>
        </w:tc>
      </w:tr>
      <w:tr>
        <w:trPr>
          <w:trHeight w:val="300" w:hRule="atLeast"/>
        </w:trPr>
        <w:tc>
          <w:tcPr>
            <w:tcW w:w="1059" w:type="dxa"/>
            <w:gridSpan w:val="3"/>
            <w:vMerge w:val="continue"/>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p>
        </w:tc>
        <w:tc>
          <w:tcPr>
            <w:tcW w:w="2217"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134"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1134"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8" w:type="dxa"/>
            <w:gridSpan w:val="2"/>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850" w:type="dxa"/>
            <w:vMerge w:val="continue"/>
            <w:tcBorders>
              <w:top w:val="nil"/>
              <w:left w:val="nil"/>
              <w:bottom w:val="single" w:color="000000" w:sz="4" w:space="0"/>
              <w:right w:val="single" w:color="000000" w:sz="12" w:space="0"/>
            </w:tcBorders>
            <w:shd w:val="clear" w:color="auto" w:fill="FFFFFF"/>
            <w:vAlign w:val="center"/>
          </w:tcPr>
          <w:p>
            <w:pPr>
              <w:rPr>
                <w:rFonts w:ascii="仿宋" w:hAnsi="仿宋" w:eastAsia="仿宋" w:cs="Arial"/>
                <w:sz w:val="20"/>
                <w:szCs w:val="20"/>
              </w:rPr>
            </w:pPr>
          </w:p>
        </w:tc>
      </w:tr>
      <w:tr>
        <w:trPr>
          <w:trHeight w:val="259" w:hRule="atLeast"/>
        </w:trPr>
        <w:tc>
          <w:tcPr>
            <w:tcW w:w="1059" w:type="dxa"/>
            <w:gridSpan w:val="3"/>
            <w:vMerge w:val="continue"/>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p>
        </w:tc>
        <w:tc>
          <w:tcPr>
            <w:tcW w:w="2217"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134"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1134"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8" w:type="dxa"/>
            <w:gridSpan w:val="2"/>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709" w:type="dxa"/>
            <w:vMerge w:val="continue"/>
            <w:tcBorders>
              <w:top w:val="nil"/>
              <w:left w:val="nil"/>
              <w:bottom w:val="single" w:color="000000" w:sz="4" w:space="0"/>
              <w:right w:val="single" w:color="000000" w:sz="4" w:space="0"/>
            </w:tcBorders>
            <w:shd w:val="clear" w:color="auto" w:fill="FFFFFF"/>
            <w:vAlign w:val="center"/>
          </w:tcPr>
          <w:p>
            <w:pPr>
              <w:rPr>
                <w:rFonts w:ascii="仿宋" w:hAnsi="仿宋" w:eastAsia="仿宋" w:cs="Arial"/>
                <w:sz w:val="20"/>
                <w:szCs w:val="20"/>
              </w:rPr>
            </w:pPr>
          </w:p>
        </w:tc>
        <w:tc>
          <w:tcPr>
            <w:tcW w:w="850" w:type="dxa"/>
            <w:vMerge w:val="continue"/>
            <w:tcBorders>
              <w:top w:val="nil"/>
              <w:left w:val="nil"/>
              <w:bottom w:val="single" w:color="000000" w:sz="4" w:space="0"/>
              <w:right w:val="single" w:color="000000" w:sz="12" w:space="0"/>
            </w:tcBorders>
            <w:shd w:val="clear" w:color="auto" w:fill="FFFFFF"/>
            <w:vAlign w:val="center"/>
          </w:tcPr>
          <w:p>
            <w:pPr>
              <w:rPr>
                <w:rFonts w:ascii="仿宋" w:hAnsi="仿宋" w:eastAsia="仿宋" w:cs="Arial"/>
                <w:sz w:val="20"/>
                <w:szCs w:val="20"/>
              </w:rPr>
            </w:pPr>
          </w:p>
        </w:tc>
      </w:tr>
      <w:tr>
        <w:trPr>
          <w:trHeight w:val="300" w:hRule="atLeast"/>
        </w:trPr>
        <w:tc>
          <w:tcPr>
            <w:tcW w:w="441" w:type="dxa"/>
            <w:tcBorders>
              <w:top w:val="nil"/>
              <w:left w:val="single" w:color="000000" w:sz="12" w:space="0"/>
              <w:bottom w:val="single" w:color="000000" w:sz="4" w:space="0"/>
              <w:right w:val="single" w:color="000000" w:sz="4" w:space="0"/>
            </w:tcBorders>
            <w:shd w:val="clear" w:color="auto" w:fill="FFFFFF"/>
            <w:vAlign w:val="center"/>
          </w:tcPr>
          <w:p>
            <w:pPr>
              <w:jc w:val="center"/>
              <w:rPr>
                <w:rFonts w:ascii="仿宋" w:hAnsi="仿宋" w:eastAsia="仿宋" w:cs="Arial"/>
                <w:sz w:val="22"/>
                <w:szCs w:val="22"/>
              </w:rPr>
            </w:pPr>
            <w:r>
              <w:rPr>
                <w:rFonts w:hint="eastAsia" w:ascii="仿宋" w:hAnsi="仿宋" w:eastAsia="仿宋" w:cs="Arial"/>
                <w:sz w:val="22"/>
                <w:szCs w:val="22"/>
              </w:rPr>
              <w:t>类</w:t>
            </w:r>
          </w:p>
        </w:tc>
        <w:tc>
          <w:tcPr>
            <w:tcW w:w="309" w:type="dxa"/>
            <w:tcBorders>
              <w:top w:val="nil"/>
              <w:left w:val="nil"/>
              <w:bottom w:val="single" w:color="000000" w:sz="4" w:space="0"/>
              <w:right w:val="single" w:color="000000" w:sz="4" w:space="0"/>
            </w:tcBorders>
            <w:shd w:val="clear" w:color="auto" w:fill="FFFFFF"/>
            <w:vAlign w:val="center"/>
          </w:tcPr>
          <w:p>
            <w:pPr>
              <w:jc w:val="center"/>
              <w:rPr>
                <w:rFonts w:ascii="仿宋" w:hAnsi="仿宋" w:eastAsia="仿宋" w:cs="Arial"/>
                <w:sz w:val="22"/>
                <w:szCs w:val="22"/>
              </w:rPr>
            </w:pPr>
            <w:r>
              <w:rPr>
                <w:rFonts w:hint="eastAsia" w:ascii="仿宋" w:hAnsi="仿宋" w:eastAsia="仿宋" w:cs="Arial"/>
                <w:sz w:val="22"/>
                <w:szCs w:val="22"/>
              </w:rPr>
              <w:t>款</w:t>
            </w:r>
          </w:p>
        </w:tc>
        <w:tc>
          <w:tcPr>
            <w:tcW w:w="309" w:type="dxa"/>
            <w:tcBorders>
              <w:top w:val="nil"/>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项</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合计</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18,844.72</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18,555.57</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289.15</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204</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公共安全支出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17,292.97</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17,012.97</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280.00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20405</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法院</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17,292.97</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17,012.97</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280.00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2040501</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行政运行</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13,409.93</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13,409.93</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48"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2040502</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一般行政管理事务</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1,356.00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1,356.00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2040504</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案件审判</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1,849.04</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1,849.04</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249"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2040505</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案件执行</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398.00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398.00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2040599</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其他法院支出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280.00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280.00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206</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科学技术支出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231.00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231.00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20605</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科技条件与服务</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231.00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231.00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2060599</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其他科技条件与服务支出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231.00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231.00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31"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208</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社会保障和就业支出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997.89</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997.89</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24"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20805</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行政事业单位离退休</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997.89</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997.89</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2080501</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归口管理的行政单位离退休</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479.91</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479.91</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682"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2080505</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机关事业单位基本养老保险缴费支出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511.83</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511.83</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2080506</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机关事业单位职业年金缴费支出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6.15</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6.15</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505"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210</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医疗卫生与计划生育支出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21011</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行政事业单位医疗</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2101101</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行政单位医疗</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216.01</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216.01</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2101103</w:t>
            </w:r>
          </w:p>
        </w:tc>
        <w:tc>
          <w:tcPr>
            <w:tcW w:w="2217"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公务员医疗补助</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97.70</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97.70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229</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其他支出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9.15</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9.15</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22999</w:t>
            </w:r>
          </w:p>
        </w:tc>
        <w:tc>
          <w:tcPr>
            <w:tcW w:w="2217"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其他支出</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9.15</w:t>
            </w:r>
          </w:p>
        </w:tc>
        <w:tc>
          <w:tcPr>
            <w:tcW w:w="1134"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8" w:type="dxa"/>
            <w:gridSpan w:val="2"/>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9.15</w:t>
            </w:r>
          </w:p>
        </w:tc>
      </w:tr>
      <w:tr>
        <w:trPr>
          <w:trHeight w:val="300" w:hRule="atLeast"/>
        </w:trPr>
        <w:tc>
          <w:tcPr>
            <w:tcW w:w="1059" w:type="dxa"/>
            <w:gridSpan w:val="3"/>
            <w:tcBorders>
              <w:top w:val="nil"/>
              <w:left w:val="single" w:color="000000" w:sz="12" w:space="0"/>
              <w:bottom w:val="single" w:color="000000" w:sz="4" w:space="0"/>
              <w:right w:val="single" w:color="000000" w:sz="4" w:space="0"/>
            </w:tcBorders>
            <w:shd w:val="clear" w:color="000000" w:fill="FFFFFF"/>
            <w:vAlign w:val="center"/>
          </w:tcPr>
          <w:p>
            <w:pPr>
              <w:rPr>
                <w:rFonts w:cs="Arial"/>
                <w:sz w:val="22"/>
                <w:szCs w:val="22"/>
              </w:rPr>
            </w:pPr>
            <w:r>
              <w:rPr>
                <w:rFonts w:hint="eastAsia" w:cs="Arial"/>
                <w:sz w:val="22"/>
                <w:szCs w:val="22"/>
              </w:rPr>
              <w:t>2299901</w:t>
            </w:r>
          </w:p>
        </w:tc>
        <w:tc>
          <w:tcPr>
            <w:tcW w:w="2217" w:type="dxa"/>
            <w:tcBorders>
              <w:top w:val="single" w:color="000000" w:sz="4" w:space="0"/>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 xml:space="preserve">  其他支出</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9.15</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8"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single" w:color="000000" w:sz="4" w:space="0"/>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9.15</w:t>
            </w:r>
          </w:p>
        </w:tc>
      </w:tr>
    </w:tbl>
    <w:p>
      <w:pPr>
        <w:shd w:val="clear" w:color="auto" w:fill="FFFFFF"/>
        <w:spacing w:before="100" w:beforeAutospacing="1" w:after="100" w:afterAutospacing="1"/>
      </w:pPr>
      <w:r>
        <w:t>注：本表金额转换为万元时，因四舍五入可能存在尾数差异。</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支出决算表</w:t>
      </w:r>
    </w:p>
    <w:p>
      <w:pPr>
        <w:ind w:left="360"/>
        <w:jc w:val="center"/>
        <w:rPr>
          <w:rFonts w:ascii="黑体" w:hAnsi="Arial" w:eastAsia="黑体" w:cs="Arial"/>
          <w:color w:val="000000"/>
          <w:sz w:val="36"/>
          <w:szCs w:val="36"/>
        </w:rPr>
      </w:pPr>
      <w:r>
        <w:rPr>
          <w:rFonts w:hint="eastAsia" w:ascii="黑体" w:hAnsi="Arial" w:eastAsia="黑体" w:cs="Arial"/>
          <w:color w:val="000000"/>
          <w:sz w:val="36"/>
          <w:szCs w:val="36"/>
        </w:rPr>
        <w:t>支出决算表</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35"/>
        <w:gridCol w:w="432"/>
        <w:gridCol w:w="324"/>
        <w:gridCol w:w="2185"/>
        <w:gridCol w:w="1180"/>
        <w:gridCol w:w="1170"/>
        <w:gridCol w:w="1052"/>
        <w:gridCol w:w="850"/>
        <w:gridCol w:w="851"/>
        <w:gridCol w:w="850"/>
      </w:tblGrid>
      <w:tr>
        <w:trPr>
          <w:trHeight w:val="300" w:hRule="atLeast"/>
        </w:trPr>
        <w:tc>
          <w:tcPr>
            <w:tcW w:w="5626" w:type="dxa"/>
            <w:gridSpan w:val="6"/>
            <w:tcBorders>
              <w:top w:val="nil"/>
              <w:left w:val="nil"/>
              <w:bottom w:val="single" w:color="000000" w:sz="12" w:space="0"/>
              <w:right w:val="nil"/>
            </w:tcBorders>
            <w:shd w:val="clear" w:color="000000" w:fill="FFFFFF"/>
            <w:vAlign w:val="center"/>
          </w:tcPr>
          <w:p>
            <w:pPr>
              <w:rPr>
                <w:rFonts w:cs="Arial"/>
                <w:sz w:val="44"/>
                <w:szCs w:val="44"/>
              </w:rPr>
            </w:pPr>
          </w:p>
          <w:p>
            <w:pPr>
              <w:rPr>
                <w:rFonts w:cs="Arial"/>
                <w:sz w:val="22"/>
                <w:szCs w:val="22"/>
              </w:rPr>
            </w:pPr>
            <w:r>
              <w:rPr>
                <w:rFonts w:hint="eastAsia" w:cs="Arial"/>
                <w:sz w:val="22"/>
                <w:szCs w:val="22"/>
              </w:rPr>
              <w:t>编制单位：厦门市中级人民法院</w:t>
            </w:r>
            <w:r>
              <w:rPr>
                <w:rFonts w:hint="eastAsia" w:cs="Arial"/>
                <w:sz w:val="18"/>
                <w:szCs w:val="18"/>
              </w:rPr>
              <w:t>　</w:t>
            </w:r>
          </w:p>
        </w:tc>
        <w:tc>
          <w:tcPr>
            <w:tcW w:w="1052" w:type="dxa"/>
            <w:tcBorders>
              <w:top w:val="nil"/>
              <w:left w:val="nil"/>
              <w:bottom w:val="single" w:color="000000" w:sz="12" w:space="0"/>
              <w:right w:val="nil"/>
            </w:tcBorders>
            <w:shd w:val="clear" w:color="000000" w:fill="FFFFFF"/>
            <w:vAlign w:val="center"/>
          </w:tcPr>
          <w:p>
            <w:pPr>
              <w:jc w:val="center"/>
              <w:rPr>
                <w:rFonts w:cs="Arial"/>
                <w:sz w:val="18"/>
                <w:szCs w:val="18"/>
              </w:rPr>
            </w:pPr>
            <w:r>
              <w:rPr>
                <w:rFonts w:hint="eastAsia" w:cs="Arial"/>
                <w:sz w:val="18"/>
                <w:szCs w:val="18"/>
              </w:rPr>
              <w:t>　</w:t>
            </w:r>
          </w:p>
        </w:tc>
        <w:tc>
          <w:tcPr>
            <w:tcW w:w="2551" w:type="dxa"/>
            <w:gridSpan w:val="3"/>
            <w:tcBorders>
              <w:top w:val="nil"/>
              <w:left w:val="nil"/>
              <w:bottom w:val="single" w:color="000000" w:sz="12" w:space="0"/>
              <w:right w:val="nil"/>
            </w:tcBorders>
            <w:shd w:val="clear" w:color="000000" w:fill="FFFFFF"/>
            <w:vAlign w:val="center"/>
          </w:tcPr>
          <w:p>
            <w:pPr>
              <w:jc w:val="center"/>
              <w:rPr>
                <w:rFonts w:cs="Arial"/>
                <w:sz w:val="18"/>
                <w:szCs w:val="18"/>
              </w:rPr>
            </w:pPr>
            <w:r>
              <w:rPr>
                <w:rFonts w:hint="eastAsia" w:cs="Arial"/>
                <w:sz w:val="18"/>
                <w:szCs w:val="18"/>
              </w:rPr>
              <w:t>　</w:t>
            </w:r>
          </w:p>
          <w:p>
            <w:pPr>
              <w:jc w:val="center"/>
              <w:rPr>
                <w:rFonts w:cs="Arial"/>
                <w:sz w:val="18"/>
                <w:szCs w:val="18"/>
              </w:rPr>
            </w:pPr>
            <w:r>
              <w:rPr>
                <w:rFonts w:hint="eastAsia" w:cs="Arial"/>
                <w:sz w:val="18"/>
                <w:szCs w:val="18"/>
              </w:rPr>
              <w:t>　</w:t>
            </w:r>
          </w:p>
          <w:p>
            <w:pPr>
              <w:jc w:val="right"/>
              <w:rPr>
                <w:rFonts w:cs="Arial"/>
                <w:sz w:val="22"/>
                <w:szCs w:val="22"/>
              </w:rPr>
            </w:pPr>
            <w:r>
              <w:rPr>
                <w:rFonts w:hint="eastAsia" w:cs="Arial"/>
                <w:sz w:val="22"/>
                <w:szCs w:val="22"/>
              </w:rPr>
              <w:t>金额单位：万元</w:t>
            </w:r>
          </w:p>
        </w:tc>
      </w:tr>
      <w:tr>
        <w:trPr>
          <w:trHeight w:val="273" w:hRule="atLeast"/>
        </w:trPr>
        <w:tc>
          <w:tcPr>
            <w:tcW w:w="3276" w:type="dxa"/>
            <w:gridSpan w:val="4"/>
            <w:tcBorders>
              <w:top w:val="single" w:color="000000" w:sz="12" w:space="0"/>
              <w:left w:val="single" w:color="000000" w:sz="12" w:space="0"/>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项目</w:t>
            </w:r>
          </w:p>
        </w:tc>
        <w:tc>
          <w:tcPr>
            <w:tcW w:w="1180"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本年支出合计</w:t>
            </w:r>
          </w:p>
        </w:tc>
        <w:tc>
          <w:tcPr>
            <w:tcW w:w="1170"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基本支出</w:t>
            </w:r>
          </w:p>
        </w:tc>
        <w:tc>
          <w:tcPr>
            <w:tcW w:w="1052"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项目支出</w:t>
            </w:r>
          </w:p>
        </w:tc>
        <w:tc>
          <w:tcPr>
            <w:tcW w:w="850"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上缴上级支出</w:t>
            </w:r>
          </w:p>
        </w:tc>
        <w:tc>
          <w:tcPr>
            <w:tcW w:w="851" w:type="dxa"/>
            <w:vMerge w:val="restart"/>
            <w:tcBorders>
              <w:top w:val="single" w:color="000000" w:sz="12" w:space="0"/>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经营支出</w:t>
            </w:r>
          </w:p>
        </w:tc>
        <w:tc>
          <w:tcPr>
            <w:tcW w:w="850" w:type="dxa"/>
            <w:vMerge w:val="restart"/>
            <w:tcBorders>
              <w:top w:val="single" w:color="000000" w:sz="12" w:space="0"/>
              <w:left w:val="nil"/>
              <w:bottom w:val="single" w:color="000000" w:sz="4" w:space="0"/>
              <w:right w:val="single" w:color="000000" w:sz="12" w:space="0"/>
            </w:tcBorders>
            <w:shd w:val="clear" w:color="auto" w:fill="FFFFFF"/>
            <w:vAlign w:val="center"/>
          </w:tcPr>
          <w:p>
            <w:pPr>
              <w:jc w:val="center"/>
              <w:rPr>
                <w:rFonts w:cs="Arial"/>
                <w:sz w:val="22"/>
                <w:szCs w:val="22"/>
              </w:rPr>
            </w:pPr>
            <w:r>
              <w:rPr>
                <w:rFonts w:hint="eastAsia" w:cs="Arial"/>
                <w:sz w:val="22"/>
                <w:szCs w:val="22"/>
              </w:rPr>
              <w:t>对附属单位补助支出</w:t>
            </w:r>
          </w:p>
        </w:tc>
      </w:tr>
      <w:tr>
        <w:trPr>
          <w:trHeight w:val="300" w:hRule="atLeast"/>
        </w:trPr>
        <w:tc>
          <w:tcPr>
            <w:tcW w:w="1091" w:type="dxa"/>
            <w:gridSpan w:val="3"/>
            <w:vMerge w:val="restart"/>
            <w:tcBorders>
              <w:top w:val="nil"/>
              <w:left w:val="single" w:color="000000" w:sz="12" w:space="0"/>
              <w:bottom w:val="single" w:color="000000" w:sz="4" w:space="0"/>
              <w:right w:val="single" w:color="000000" w:sz="4" w:space="0"/>
            </w:tcBorders>
            <w:shd w:val="clear" w:color="auto" w:fill="FFFFFF"/>
            <w:vAlign w:val="top"/>
          </w:tcPr>
          <w:p>
            <w:pPr>
              <w:jc w:val="both"/>
              <w:rPr>
                <w:rFonts w:cs="Arial"/>
                <w:sz w:val="22"/>
                <w:szCs w:val="22"/>
              </w:rPr>
            </w:pPr>
            <w:r>
              <w:rPr>
                <w:rFonts w:hint="eastAsia" w:cs="Arial"/>
                <w:sz w:val="22"/>
                <w:szCs w:val="22"/>
              </w:rPr>
              <w:t>支出功能分类科目编码</w:t>
            </w:r>
          </w:p>
        </w:tc>
        <w:tc>
          <w:tcPr>
            <w:tcW w:w="2185" w:type="dxa"/>
            <w:vMerge w:val="restart"/>
            <w:tcBorders>
              <w:top w:val="nil"/>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科目名称</w:t>
            </w:r>
          </w:p>
        </w:tc>
        <w:tc>
          <w:tcPr>
            <w:tcW w:w="1180" w:type="dxa"/>
            <w:vMerge w:val="continue"/>
            <w:tcBorders>
              <w:top w:val="nil"/>
              <w:left w:val="nil"/>
              <w:bottom w:val="single" w:color="000000" w:sz="4" w:space="0"/>
              <w:right w:val="single" w:color="000000" w:sz="4" w:space="0"/>
            </w:tcBorders>
            <w:shd w:val="clear" w:color="auto" w:fill="FFFFFF"/>
            <w:vAlign w:val="center"/>
          </w:tcPr>
          <w:p>
            <w:pPr>
              <w:rPr>
                <w:rFonts w:cs="Arial"/>
                <w:sz w:val="22"/>
                <w:szCs w:val="22"/>
              </w:rPr>
            </w:pPr>
          </w:p>
        </w:tc>
        <w:tc>
          <w:tcPr>
            <w:tcW w:w="1170" w:type="dxa"/>
            <w:vMerge w:val="continue"/>
            <w:tcBorders>
              <w:top w:val="nil"/>
              <w:left w:val="nil"/>
              <w:bottom w:val="single" w:color="000000" w:sz="4" w:space="0"/>
              <w:right w:val="single" w:color="000000" w:sz="4" w:space="0"/>
            </w:tcBorders>
            <w:shd w:val="clear" w:color="auto" w:fill="FFFFFF"/>
            <w:vAlign w:val="center"/>
          </w:tcPr>
          <w:p>
            <w:pPr>
              <w:rPr>
                <w:rFonts w:cs="Arial"/>
                <w:sz w:val="22"/>
                <w:szCs w:val="22"/>
              </w:rPr>
            </w:pPr>
          </w:p>
        </w:tc>
        <w:tc>
          <w:tcPr>
            <w:tcW w:w="1052" w:type="dxa"/>
            <w:vMerge w:val="continue"/>
            <w:tcBorders>
              <w:top w:val="nil"/>
              <w:left w:val="nil"/>
              <w:bottom w:val="single" w:color="000000" w:sz="4" w:space="0"/>
              <w:right w:val="single" w:color="000000" w:sz="4" w:space="0"/>
            </w:tcBorders>
            <w:shd w:val="clear" w:color="auto" w:fill="FFFFFF"/>
            <w:vAlign w:val="center"/>
          </w:tcPr>
          <w:p>
            <w:pPr>
              <w:rPr>
                <w:rFonts w:cs="Arial"/>
                <w:sz w:val="22"/>
                <w:szCs w:val="22"/>
              </w:rPr>
            </w:pPr>
          </w:p>
        </w:tc>
        <w:tc>
          <w:tcPr>
            <w:tcW w:w="850" w:type="dxa"/>
            <w:vMerge w:val="continue"/>
            <w:tcBorders>
              <w:top w:val="nil"/>
              <w:left w:val="nil"/>
              <w:bottom w:val="single" w:color="000000" w:sz="4" w:space="0"/>
              <w:right w:val="single" w:color="000000" w:sz="4" w:space="0"/>
            </w:tcBorders>
            <w:shd w:val="clear" w:color="auto" w:fill="FFFFFF"/>
            <w:vAlign w:val="center"/>
          </w:tcPr>
          <w:p>
            <w:pPr>
              <w:rPr>
                <w:rFonts w:cs="Arial"/>
                <w:sz w:val="22"/>
                <w:szCs w:val="22"/>
              </w:rPr>
            </w:pPr>
          </w:p>
        </w:tc>
        <w:tc>
          <w:tcPr>
            <w:tcW w:w="851" w:type="dxa"/>
            <w:vMerge w:val="continue"/>
            <w:tcBorders>
              <w:top w:val="nil"/>
              <w:left w:val="nil"/>
              <w:bottom w:val="single" w:color="000000" w:sz="4" w:space="0"/>
              <w:right w:val="single" w:color="000000" w:sz="4" w:space="0"/>
            </w:tcBorders>
            <w:shd w:val="clear" w:color="auto" w:fill="FFFFFF"/>
            <w:vAlign w:val="center"/>
          </w:tcPr>
          <w:p>
            <w:pPr>
              <w:rPr>
                <w:rFonts w:cs="Arial"/>
                <w:sz w:val="22"/>
                <w:szCs w:val="22"/>
              </w:rPr>
            </w:pPr>
          </w:p>
        </w:tc>
        <w:tc>
          <w:tcPr>
            <w:tcW w:w="850" w:type="dxa"/>
            <w:vMerge w:val="continue"/>
            <w:tcBorders>
              <w:top w:val="nil"/>
              <w:left w:val="nil"/>
              <w:bottom w:val="single" w:color="000000" w:sz="4" w:space="0"/>
              <w:right w:val="single" w:color="000000" w:sz="12" w:space="0"/>
            </w:tcBorders>
            <w:shd w:val="clear" w:color="auto" w:fill="FFFFFF"/>
            <w:vAlign w:val="center"/>
          </w:tcPr>
          <w:p>
            <w:pPr>
              <w:rPr>
                <w:rFonts w:cs="Arial"/>
                <w:sz w:val="22"/>
                <w:szCs w:val="22"/>
              </w:rPr>
            </w:pPr>
          </w:p>
        </w:tc>
      </w:tr>
      <w:tr>
        <w:trPr>
          <w:trHeight w:val="300" w:hRule="atLeast"/>
        </w:trPr>
        <w:tc>
          <w:tcPr>
            <w:tcW w:w="1091" w:type="dxa"/>
            <w:gridSpan w:val="3"/>
            <w:vMerge w:val="continue"/>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p>
        </w:tc>
        <w:tc>
          <w:tcPr>
            <w:tcW w:w="2185"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180"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170"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052"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850"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851"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850" w:type="dxa"/>
            <w:vMerge w:val="continue"/>
            <w:tcBorders>
              <w:top w:val="nil"/>
              <w:left w:val="nil"/>
              <w:bottom w:val="single" w:color="000000" w:sz="4" w:space="0"/>
              <w:right w:val="single" w:color="000000" w:sz="12" w:space="0"/>
            </w:tcBorders>
            <w:shd w:val="clear" w:color="auto" w:fill="FFFFFF"/>
            <w:vAlign w:val="center"/>
          </w:tcPr>
          <w:p>
            <w:pPr>
              <w:rPr>
                <w:rFonts w:cs="Arial"/>
                <w:sz w:val="20"/>
                <w:szCs w:val="20"/>
              </w:rPr>
            </w:pPr>
          </w:p>
        </w:tc>
      </w:tr>
      <w:tr>
        <w:trPr>
          <w:trHeight w:val="363" w:hRule="atLeast"/>
        </w:trPr>
        <w:tc>
          <w:tcPr>
            <w:tcW w:w="1091" w:type="dxa"/>
            <w:gridSpan w:val="3"/>
            <w:vMerge w:val="continue"/>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p>
        </w:tc>
        <w:tc>
          <w:tcPr>
            <w:tcW w:w="2185"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180"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170"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1052"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850"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851" w:type="dxa"/>
            <w:vMerge w:val="continue"/>
            <w:tcBorders>
              <w:top w:val="nil"/>
              <w:left w:val="nil"/>
              <w:bottom w:val="single" w:color="000000" w:sz="4" w:space="0"/>
              <w:right w:val="single" w:color="000000" w:sz="4" w:space="0"/>
            </w:tcBorders>
            <w:shd w:val="clear" w:color="auto" w:fill="FFFFFF"/>
            <w:vAlign w:val="center"/>
          </w:tcPr>
          <w:p>
            <w:pPr>
              <w:rPr>
                <w:rFonts w:cs="Arial"/>
                <w:sz w:val="20"/>
                <w:szCs w:val="20"/>
              </w:rPr>
            </w:pPr>
          </w:p>
        </w:tc>
        <w:tc>
          <w:tcPr>
            <w:tcW w:w="850" w:type="dxa"/>
            <w:vMerge w:val="continue"/>
            <w:tcBorders>
              <w:top w:val="nil"/>
              <w:left w:val="nil"/>
              <w:bottom w:val="single" w:color="000000" w:sz="4" w:space="0"/>
              <w:right w:val="single" w:color="000000" w:sz="12" w:space="0"/>
            </w:tcBorders>
            <w:shd w:val="clear" w:color="auto" w:fill="FFFFFF"/>
            <w:vAlign w:val="center"/>
          </w:tcPr>
          <w:p>
            <w:pPr>
              <w:rPr>
                <w:rFonts w:cs="Arial"/>
                <w:sz w:val="20"/>
                <w:szCs w:val="20"/>
              </w:rPr>
            </w:pPr>
          </w:p>
        </w:tc>
      </w:tr>
      <w:tr>
        <w:trPr>
          <w:trHeight w:val="399" w:hRule="atLeast"/>
        </w:trPr>
        <w:tc>
          <w:tcPr>
            <w:tcW w:w="335" w:type="dxa"/>
            <w:tcBorders>
              <w:top w:val="nil"/>
              <w:left w:val="single" w:color="000000" w:sz="12" w:space="0"/>
              <w:bottom w:val="single" w:color="000000" w:sz="4" w:space="0"/>
              <w:right w:val="single" w:color="000000" w:sz="4" w:space="0"/>
            </w:tcBorders>
            <w:shd w:val="clear" w:color="auto" w:fill="FFFFFF"/>
            <w:vAlign w:val="center"/>
          </w:tcPr>
          <w:p>
            <w:pPr>
              <w:jc w:val="center"/>
              <w:rPr>
                <w:rFonts w:cs="Arial"/>
                <w:sz w:val="20"/>
                <w:szCs w:val="20"/>
              </w:rPr>
            </w:pPr>
            <w:r>
              <w:rPr>
                <w:rFonts w:hint="eastAsia" w:cs="Arial"/>
                <w:sz w:val="20"/>
                <w:szCs w:val="20"/>
              </w:rPr>
              <w:t>类</w:t>
            </w:r>
          </w:p>
        </w:tc>
        <w:tc>
          <w:tcPr>
            <w:tcW w:w="432" w:type="dxa"/>
            <w:tcBorders>
              <w:top w:val="nil"/>
              <w:left w:val="nil"/>
              <w:bottom w:val="single" w:color="000000" w:sz="4" w:space="0"/>
              <w:right w:val="single" w:color="000000" w:sz="4" w:space="0"/>
            </w:tcBorders>
            <w:shd w:val="clear" w:color="auto" w:fill="FFFFFF"/>
            <w:vAlign w:val="center"/>
          </w:tcPr>
          <w:p>
            <w:pPr>
              <w:jc w:val="center"/>
              <w:rPr>
                <w:rFonts w:cs="Arial"/>
                <w:sz w:val="20"/>
                <w:szCs w:val="20"/>
              </w:rPr>
            </w:pPr>
            <w:r>
              <w:rPr>
                <w:rFonts w:hint="eastAsia" w:cs="Arial"/>
                <w:sz w:val="20"/>
                <w:szCs w:val="20"/>
              </w:rPr>
              <w:t>款</w:t>
            </w:r>
          </w:p>
        </w:tc>
        <w:tc>
          <w:tcPr>
            <w:tcW w:w="324" w:type="dxa"/>
            <w:tcBorders>
              <w:top w:val="nil"/>
              <w:left w:val="nil"/>
              <w:bottom w:val="single" w:color="000000" w:sz="4" w:space="0"/>
              <w:right w:val="single" w:color="000000" w:sz="4" w:space="0"/>
            </w:tcBorders>
            <w:shd w:val="clear" w:color="auto" w:fill="FFFFFF"/>
            <w:vAlign w:val="center"/>
          </w:tcPr>
          <w:p>
            <w:pPr>
              <w:jc w:val="center"/>
              <w:rPr>
                <w:rFonts w:cs="Arial"/>
                <w:sz w:val="20"/>
                <w:szCs w:val="20"/>
              </w:rPr>
            </w:pPr>
            <w:r>
              <w:rPr>
                <w:rFonts w:hint="eastAsia" w:cs="Arial"/>
                <w:sz w:val="20"/>
                <w:szCs w:val="20"/>
              </w:rPr>
              <w:t>项</w:t>
            </w:r>
          </w:p>
        </w:tc>
        <w:tc>
          <w:tcPr>
            <w:tcW w:w="2185" w:type="dxa"/>
            <w:tcBorders>
              <w:top w:val="nil"/>
              <w:left w:val="nil"/>
              <w:bottom w:val="single" w:color="000000" w:sz="4" w:space="0"/>
              <w:right w:val="single" w:color="000000" w:sz="4" w:space="0"/>
            </w:tcBorders>
            <w:shd w:val="clear" w:color="auto" w:fill="FFFFFF"/>
            <w:vAlign w:val="center"/>
          </w:tcPr>
          <w:p>
            <w:pPr>
              <w:jc w:val="center"/>
              <w:rPr>
                <w:rFonts w:cs="Arial"/>
                <w:sz w:val="22"/>
                <w:szCs w:val="22"/>
              </w:rPr>
            </w:pPr>
            <w:r>
              <w:rPr>
                <w:rFonts w:hint="eastAsia" w:cs="Arial"/>
                <w:sz w:val="22"/>
                <w:szCs w:val="22"/>
              </w:rPr>
              <w:t>合计</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16,878.71</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14,624.55</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2,254.16</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09"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204</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公共安全支出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15,357.89</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13,323.47</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2,034.42</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15"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20405</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法院</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15,357.89</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13,323.47</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2,034.42</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06"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2040501</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行政运行</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13,323.47</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13,323.47</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26"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2040502</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一般行政管理事务</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433.17</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433.17</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05"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2040504</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案件审判</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1,449.24</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1,449.24</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25"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2040505</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案件执行</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66.04</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66.04</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16"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2040599</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其他法院支出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85.97</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85.97</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93"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206</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科学技术支出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219.73</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219.73</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72"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20605</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科技条件与服务</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219.73</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219.73</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2060599</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其他科技条件与服务支出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219.73</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219.73</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485"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208</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社会保障和就业支出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987.37</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987.37</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74"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20805</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行政事业单位离退休</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987.37</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987.37</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300"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2080501</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归口管理的行政单位离退休</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475.54</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475.54</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2080505</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机关事业单位基本养老保险缴费支出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511.83</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511.83</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210</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医疗卫生与计划生育支出</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17"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bCs/>
                <w:sz w:val="20"/>
                <w:szCs w:val="20"/>
              </w:rPr>
            </w:pPr>
            <w:r>
              <w:rPr>
                <w:rFonts w:hint="eastAsia" w:cs="Arial"/>
                <w:bCs/>
                <w:sz w:val="20"/>
                <w:szCs w:val="20"/>
              </w:rPr>
              <w:t>21011</w:t>
            </w:r>
          </w:p>
        </w:tc>
        <w:tc>
          <w:tcPr>
            <w:tcW w:w="2185" w:type="dxa"/>
            <w:tcBorders>
              <w:top w:val="nil"/>
              <w:left w:val="nil"/>
              <w:bottom w:val="single" w:color="000000" w:sz="4" w:space="0"/>
              <w:right w:val="single" w:color="000000" w:sz="4" w:space="0"/>
            </w:tcBorders>
            <w:shd w:val="clear" w:color="auto" w:fill="FFFFFF"/>
            <w:vAlign w:val="center"/>
          </w:tcPr>
          <w:p>
            <w:pPr>
              <w:rPr>
                <w:rFonts w:cs="Arial"/>
                <w:bCs/>
                <w:sz w:val="22"/>
                <w:szCs w:val="22"/>
              </w:rPr>
            </w:pPr>
            <w:r>
              <w:rPr>
                <w:rFonts w:hint="eastAsia" w:cs="Arial"/>
                <w:bCs/>
                <w:sz w:val="22"/>
                <w:szCs w:val="22"/>
              </w:rPr>
              <w:t>行政事业单位医疗</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313.71</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bCs/>
                <w:sz w:val="20"/>
                <w:szCs w:val="20"/>
              </w:rPr>
            </w:pPr>
            <w:r>
              <w:rPr>
                <w:rFonts w:hint="eastAsia" w:ascii="仿宋" w:hAnsi="仿宋" w:eastAsia="仿宋" w:cs="Arial"/>
                <w:bCs/>
                <w:sz w:val="20"/>
                <w:szCs w:val="20"/>
              </w:rPr>
              <w:t>0.00</w:t>
            </w:r>
          </w:p>
        </w:tc>
      </w:tr>
      <w:tr>
        <w:trPr>
          <w:trHeight w:val="469" w:hRule="atLeast"/>
        </w:trPr>
        <w:tc>
          <w:tcPr>
            <w:tcW w:w="1091" w:type="dxa"/>
            <w:gridSpan w:val="3"/>
            <w:tcBorders>
              <w:top w:val="nil"/>
              <w:left w:val="single" w:color="000000" w:sz="12"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2101101</w:t>
            </w:r>
          </w:p>
        </w:tc>
        <w:tc>
          <w:tcPr>
            <w:tcW w:w="2185" w:type="dxa"/>
            <w:tcBorders>
              <w:top w:val="nil"/>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行政单位医疗</w:t>
            </w:r>
          </w:p>
        </w:tc>
        <w:tc>
          <w:tcPr>
            <w:tcW w:w="118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216.01</w:t>
            </w:r>
          </w:p>
        </w:tc>
        <w:tc>
          <w:tcPr>
            <w:tcW w:w="117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216.01</w:t>
            </w:r>
          </w:p>
        </w:tc>
        <w:tc>
          <w:tcPr>
            <w:tcW w:w="1052"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nil"/>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nil"/>
              <w:left w:val="nil"/>
              <w:bottom w:val="single" w:color="000000" w:sz="4" w:space="0"/>
              <w:right w:val="single" w:color="000000" w:sz="12"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62" w:hRule="atLeast"/>
        </w:trPr>
        <w:tc>
          <w:tcPr>
            <w:tcW w:w="10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cs="Arial"/>
                <w:sz w:val="20"/>
                <w:szCs w:val="20"/>
              </w:rPr>
            </w:pPr>
            <w:r>
              <w:rPr>
                <w:rFonts w:hint="eastAsia" w:cs="Arial"/>
                <w:sz w:val="20"/>
                <w:szCs w:val="20"/>
              </w:rPr>
              <w:t>2101103</w:t>
            </w:r>
          </w:p>
        </w:tc>
        <w:tc>
          <w:tcPr>
            <w:tcW w:w="2185" w:type="dxa"/>
            <w:tcBorders>
              <w:top w:val="single" w:color="000000" w:sz="4" w:space="0"/>
              <w:left w:val="nil"/>
              <w:bottom w:val="single" w:color="000000" w:sz="4" w:space="0"/>
              <w:right w:val="single" w:color="000000" w:sz="4" w:space="0"/>
            </w:tcBorders>
            <w:shd w:val="clear" w:color="auto" w:fill="FFFFFF"/>
            <w:vAlign w:val="center"/>
          </w:tcPr>
          <w:p>
            <w:pPr>
              <w:rPr>
                <w:rFonts w:cs="Arial"/>
                <w:sz w:val="22"/>
                <w:szCs w:val="22"/>
              </w:rPr>
            </w:pPr>
            <w:r>
              <w:rPr>
                <w:rFonts w:hint="eastAsia" w:cs="Arial"/>
                <w:sz w:val="22"/>
                <w:szCs w:val="22"/>
              </w:rPr>
              <w:t xml:space="preserve">  公务员医疗补助</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97.70</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97.70</w:t>
            </w:r>
          </w:p>
        </w:tc>
        <w:tc>
          <w:tcPr>
            <w:tcW w:w="1052"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1"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c>
          <w:tcPr>
            <w:tcW w:w="850" w:type="dxa"/>
            <w:tcBorders>
              <w:top w:val="single" w:color="000000" w:sz="4" w:space="0"/>
              <w:left w:val="nil"/>
              <w:bottom w:val="single" w:color="000000" w:sz="4" w:space="0"/>
              <w:right w:val="single" w:color="000000" w:sz="4" w:space="0"/>
            </w:tcBorders>
            <w:shd w:val="clear" w:color="auto" w:fill="FFFFFF"/>
            <w:vAlign w:val="center"/>
          </w:tcPr>
          <w:p>
            <w:pPr>
              <w:jc w:val="right"/>
              <w:rPr>
                <w:rFonts w:ascii="仿宋" w:hAnsi="仿宋" w:eastAsia="仿宋" w:cs="Arial"/>
                <w:sz w:val="20"/>
                <w:szCs w:val="20"/>
              </w:rPr>
            </w:pPr>
            <w:r>
              <w:rPr>
                <w:rFonts w:hint="eastAsia" w:ascii="仿宋" w:hAnsi="仿宋" w:eastAsia="仿宋" w:cs="Arial"/>
                <w:sz w:val="20"/>
                <w:szCs w:val="20"/>
              </w:rPr>
              <w:t>0.00</w:t>
            </w:r>
          </w:p>
        </w:tc>
      </w:tr>
      <w:tr>
        <w:trPr>
          <w:trHeight w:val="300" w:hRule="atLeast"/>
        </w:trPr>
        <w:tc>
          <w:tcPr>
            <w:tcW w:w="9229" w:type="dxa"/>
            <w:gridSpan w:val="10"/>
            <w:tcBorders>
              <w:top w:val="single" w:color="000000" w:sz="4" w:space="0"/>
            </w:tcBorders>
            <w:shd w:val="clear" w:color="auto" w:fill="FFFFFF"/>
            <w:vAlign w:val="center"/>
          </w:tcPr>
          <w:p>
            <w:pPr>
              <w:shd w:val="clear" w:color="auto" w:fill="FFFFFF"/>
              <w:spacing w:before="100" w:beforeAutospacing="1" w:after="100" w:afterAutospacing="1"/>
              <w:jc w:val="both"/>
            </w:pPr>
            <w:r>
              <w:t>注：本表金额转换为万元时，因四舍五入可能存在数差异。</w:t>
            </w:r>
          </w:p>
        </w:tc>
      </w:tr>
    </w:tbl>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财政拨款收入支出决算总表</w:t>
      </w:r>
    </w:p>
    <w:tbl>
      <w:tblPr>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709"/>
        <w:gridCol w:w="1275"/>
        <w:gridCol w:w="1479"/>
        <w:gridCol w:w="364"/>
        <w:gridCol w:w="1134"/>
        <w:gridCol w:w="1134"/>
        <w:gridCol w:w="335"/>
        <w:gridCol w:w="799"/>
        <w:gridCol w:w="236"/>
      </w:tblGrid>
      <w:tr>
        <w:trPr>
          <w:gridAfter w:val="2"/>
          <w:wAfter w:w="1035" w:type="dxa"/>
          <w:trHeight w:val="540" w:hRule="atLeast"/>
        </w:trPr>
        <w:tc>
          <w:tcPr>
            <w:tcW w:w="8430" w:type="dxa"/>
            <w:gridSpan w:val="7"/>
            <w:vAlign w:val="bottom"/>
          </w:tcPr>
          <w:p>
            <w:pPr>
              <w:spacing w:before="100" w:beforeAutospacing="1" w:after="100" w:afterAutospacing="1"/>
              <w:ind w:firstLine="1620" w:firstLineChars="450"/>
              <w:rPr>
                <w:rFonts w:cs="Arial"/>
                <w:color w:val="000000"/>
                <w:sz w:val="44"/>
                <w:szCs w:val="44"/>
              </w:rPr>
            </w:pPr>
            <w:r>
              <w:rPr>
                <w:rFonts w:hint="eastAsia" w:ascii="黑体" w:hAnsi="Arial" w:eastAsia="黑体" w:cs="Arial"/>
                <w:color w:val="000000"/>
                <w:sz w:val="36"/>
                <w:szCs w:val="36"/>
              </w:rPr>
              <w:t>财政拨款收入支出决算总表</w:t>
            </w:r>
          </w:p>
        </w:tc>
      </w:tr>
      <w:tr>
        <w:trPr>
          <w:trHeight w:val="315" w:hRule="atLeast"/>
        </w:trPr>
        <w:tc>
          <w:tcPr>
            <w:tcW w:w="5463" w:type="dxa"/>
            <w:gridSpan w:val="3"/>
            <w:vAlign w:val="bottom"/>
          </w:tcPr>
          <w:p>
            <w:pPr>
              <w:spacing w:before="100" w:beforeAutospacing="1" w:after="100" w:afterAutospacing="1"/>
              <w:rPr>
                <w:rFonts w:cs="Arial"/>
                <w:color w:val="000000"/>
                <w:sz w:val="22"/>
                <w:szCs w:val="22"/>
              </w:rPr>
            </w:pPr>
            <w:r>
              <w:rPr>
                <w:rFonts w:hint="eastAsia" w:cs="Arial"/>
                <w:color w:val="000000"/>
                <w:sz w:val="22"/>
                <w:szCs w:val="22"/>
              </w:rPr>
              <w:t>编制单位：厦门市中级人民法院</w:t>
            </w:r>
          </w:p>
        </w:tc>
        <w:tc>
          <w:tcPr>
            <w:tcW w:w="3766" w:type="dxa"/>
            <w:gridSpan w:val="5"/>
            <w:vAlign w:val="bottom"/>
          </w:tcPr>
          <w:p>
            <w:r>
              <w:t> </w:t>
            </w:r>
          </w:p>
          <w:p>
            <w:pPr>
              <w:rPr>
                <w:sz w:val="22"/>
                <w:szCs w:val="22"/>
              </w:rPr>
            </w:pPr>
            <w:r>
              <w:t> </w:t>
            </w:r>
            <w:r>
              <w:rPr>
                <w:rFonts w:hint="eastAsia"/>
              </w:rPr>
              <w:t xml:space="preserve">     </w:t>
            </w:r>
            <w:r>
              <w:rPr>
                <w:rFonts w:hint="eastAsia"/>
                <w:sz w:val="22"/>
                <w:szCs w:val="22"/>
              </w:rPr>
              <w:t xml:space="preserve"> 金额单位：万元</w:t>
            </w:r>
          </w:p>
        </w:tc>
        <w:tc>
          <w:tcPr>
            <w:tcW w:w="236" w:type="dxa"/>
            <w:vAlign w:val="bottom"/>
          </w:tcPr>
          <w:p>
            <w:r>
              <w:t> </w:t>
            </w:r>
          </w:p>
        </w:tc>
      </w:tr>
      <w:tr>
        <w:trPr>
          <w:gridAfter w:val="1"/>
          <w:wAfter w:w="236" w:type="dxa"/>
          <w:trHeight w:val="308" w:hRule="atLeast"/>
        </w:trPr>
        <w:tc>
          <w:tcPr>
            <w:tcW w:w="3984" w:type="dxa"/>
            <w:gridSpan w:val="2"/>
            <w:tcBorders>
              <w:top w:val="single" w:color="000000" w:sz="8"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收     入</w:t>
            </w:r>
          </w:p>
        </w:tc>
        <w:tc>
          <w:tcPr>
            <w:tcW w:w="5245"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支     出</w:t>
            </w:r>
          </w:p>
        </w:tc>
      </w:tr>
      <w:tr>
        <w:trPr>
          <w:gridAfter w:val="1"/>
          <w:wAfter w:w="236" w:type="dxa"/>
          <w:trHeight w:val="312" w:hRule="atLeast"/>
        </w:trPr>
        <w:tc>
          <w:tcPr>
            <w:tcW w:w="2709" w:type="dxa"/>
            <w:vMerge w:val="restart"/>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1275" w:type="dxa"/>
            <w:vMerge w:val="restart"/>
            <w:tcBorders>
              <w:top w:val="nil"/>
              <w:left w:val="nil"/>
              <w:bottom w:val="single" w:color="000000" w:sz="4" w:space="0"/>
              <w:right w:val="nil"/>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c>
          <w:tcPr>
            <w:tcW w:w="1843" w:type="dxa"/>
            <w:gridSpan w:val="2"/>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项目（按功能分类）</w:t>
            </w:r>
          </w:p>
        </w:tc>
        <w:tc>
          <w:tcPr>
            <w:tcW w:w="1134" w:type="dxa"/>
            <w:vMerge w:val="restart"/>
            <w:tcBorders>
              <w:top w:val="nil"/>
              <w:left w:val="single" w:color="auto" w:sz="4" w:space="0"/>
              <w:bottom w:val="single" w:color="000000"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合计</w:t>
            </w:r>
          </w:p>
        </w:tc>
        <w:tc>
          <w:tcPr>
            <w:tcW w:w="113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一般公共预算财政拨款</w:t>
            </w:r>
          </w:p>
        </w:tc>
        <w:tc>
          <w:tcPr>
            <w:tcW w:w="1134" w:type="dxa"/>
            <w:gridSpan w:val="2"/>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政府性基金预算财政拨款</w:t>
            </w:r>
          </w:p>
        </w:tc>
      </w:tr>
      <w:tr>
        <w:trPr>
          <w:gridAfter w:val="1"/>
          <w:wAfter w:w="236" w:type="dxa"/>
          <w:trHeight w:val="570" w:hRule="atLeast"/>
        </w:trPr>
        <w:tc>
          <w:tcPr>
            <w:tcW w:w="2709" w:type="dxa"/>
            <w:vMerge w:val="continue"/>
            <w:tcBorders>
              <w:top w:val="nil"/>
              <w:left w:val="single" w:color="000000" w:sz="8" w:space="0"/>
              <w:bottom w:val="single" w:color="000000" w:sz="4" w:space="0"/>
              <w:right w:val="single" w:color="000000" w:sz="4" w:space="0"/>
            </w:tcBorders>
            <w:vAlign w:val="center"/>
          </w:tcPr>
          <w:p>
            <w:pPr>
              <w:rPr>
                <w:rFonts w:cs="Arial"/>
                <w:color w:val="000000"/>
                <w:sz w:val="22"/>
                <w:szCs w:val="22"/>
              </w:rPr>
            </w:pPr>
          </w:p>
        </w:tc>
        <w:tc>
          <w:tcPr>
            <w:tcW w:w="1275" w:type="dxa"/>
            <w:vMerge w:val="continue"/>
            <w:tcBorders>
              <w:top w:val="nil"/>
              <w:left w:val="nil"/>
              <w:bottom w:val="single" w:color="000000" w:sz="4" w:space="0"/>
              <w:right w:val="nil"/>
            </w:tcBorders>
            <w:vAlign w:val="center"/>
          </w:tcPr>
          <w:p>
            <w:pPr>
              <w:rPr>
                <w:rFonts w:cs="Arial"/>
                <w:color w:val="000000"/>
                <w:sz w:val="22"/>
                <w:szCs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cs="Arial"/>
                <w:color w:val="00000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一、一般公共预算财政拨款</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18,555.57</w:t>
            </w: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一、一般公共服务支出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二、政府性基金预算财政拨款</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二、外交支出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三、国防支出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四、公共安全支出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15,322.42</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15,322.42</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五、教育支出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六、科学技术支出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219.73</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219.73</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七、文化旅游体育与传媒支出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八、社会保障和就业支出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987.37</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987.37</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九、卫生健康支出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313.71</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313.71</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十、节能环保支出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十一、城乡社区支出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十二、农林水支出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十三、交通运输支出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十四、资源勘探信息等支出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十五、商业服务业等支出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十六、金融支出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十七、援助其他地区支出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十八、自然资源海洋气象等支出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十九、住房保障支出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二十、粮油物资储备支出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二十一、灾害防治及应急管理支出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二十二、其他支出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nil"/>
              <w:left w:val="single" w:color="000000" w:sz="8" w:space="0"/>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nil"/>
              <w:left w:val="nil"/>
              <w:bottom w:val="single" w:color="auto" w:sz="4" w:space="0"/>
              <w:right w:val="nil"/>
            </w:tcBorders>
            <w:vAlign w:val="center"/>
          </w:tcPr>
          <w:p>
            <w:pPr>
              <w:spacing w:before="100" w:beforeAutospacing="1" w:after="100" w:afterAutospacing="1"/>
              <w:jc w:val="right"/>
              <w:rPr>
                <w:rFonts w:cs="Arial"/>
                <w:color w:val="000000"/>
                <w:sz w:val="20"/>
                <w:szCs w:val="20"/>
              </w:rPr>
            </w:pPr>
          </w:p>
        </w:tc>
        <w:tc>
          <w:tcPr>
            <w:tcW w:w="1843" w:type="dxa"/>
            <w:gridSpan w:val="2"/>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二十三、债务还本支出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 xml:space="preserve"> 0.00</w:t>
            </w: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b/>
                <w:bCs/>
                <w:color w:val="000000"/>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二十四、债务付息支出</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b/>
                <w:bCs/>
                <w:color w:val="000000"/>
                <w:sz w:val="20"/>
                <w:szCs w:val="20"/>
              </w:rPr>
            </w:pPr>
            <w:r>
              <w:rPr>
                <w:rFonts w:hint="eastAsia" w:ascii="仿宋" w:hAnsi="仿宋" w:eastAsia="仿宋" w:cs="仿宋_GB2312"/>
                <w:color w:val="333333"/>
                <w:sz w:val="20"/>
                <w:szCs w:val="20"/>
              </w:rPr>
              <w:t>0.00</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本年收入合计</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18,555.57</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本年支出合计</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b/>
                <w:bCs/>
                <w:color w:val="000000"/>
                <w:sz w:val="20"/>
                <w:szCs w:val="20"/>
              </w:rPr>
            </w:pPr>
            <w:r>
              <w:rPr>
                <w:rFonts w:hint="eastAsia" w:ascii="仿宋" w:hAnsi="仿宋" w:eastAsia="仿宋" w:cs="仿宋_GB2312"/>
                <w:color w:val="333333"/>
                <w:sz w:val="20"/>
                <w:szCs w:val="20"/>
              </w:rPr>
              <w:t>16,843.23</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16,843.23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pP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年初财政拨款结转和结余</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1,268.69</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年末财政拨款结转和结余</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2,981.02</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2,981.02</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pPr>
            <w:r>
              <w:rPr>
                <w:rFonts w:hint="eastAsia" w:ascii="仿宋" w:hAnsi="仿宋" w:eastAsia="仿宋" w:cs="仿宋_GB2312"/>
                <w:color w:val="333333"/>
                <w:sz w:val="20"/>
                <w:szCs w:val="20"/>
              </w:rPr>
              <w:t>0.00</w:t>
            </w: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一、一般公共预算财政拨款</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1,268.69</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both"/>
            </w:pP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二、政府性基金预算财政拨款</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both"/>
            </w:pP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both"/>
            </w:pPr>
          </w:p>
        </w:tc>
      </w:tr>
      <w:tr>
        <w:trPr>
          <w:gridAfter w:val="1"/>
          <w:wAfter w:w="236" w:type="dxa"/>
          <w:trHeight w:val="390" w:hRule="atLeast"/>
        </w:trPr>
        <w:tc>
          <w:tcPr>
            <w:tcW w:w="2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总计</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19,824.26</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总计</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b/>
                <w:bCs/>
                <w:color w:val="000000"/>
                <w:sz w:val="20"/>
                <w:szCs w:val="20"/>
              </w:rPr>
            </w:pPr>
            <w:r>
              <w:rPr>
                <w:rFonts w:hint="eastAsia" w:ascii="仿宋" w:hAnsi="仿宋" w:eastAsia="仿宋" w:cs="仿宋_GB2312"/>
                <w:color w:val="333333"/>
                <w:sz w:val="20"/>
                <w:szCs w:val="20"/>
              </w:rPr>
              <w:t>19,824.26</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19,824.26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200" w:firstLineChars="100"/>
              <w:jc w:val="both"/>
              <w:rPr>
                <w:rFonts w:ascii="仿宋" w:hAnsi="仿宋" w:eastAsia="仿宋" w:cs="仿宋_GB2312"/>
                <w:color w:val="333333"/>
                <w:sz w:val="20"/>
                <w:szCs w:val="20"/>
              </w:rPr>
            </w:pPr>
            <w:r>
              <w:rPr>
                <w:rFonts w:hint="eastAsia" w:ascii="仿宋" w:hAnsi="仿宋" w:eastAsia="仿宋" w:cs="仿宋_GB2312"/>
                <w:color w:val="333333"/>
                <w:sz w:val="20"/>
                <w:szCs w:val="20"/>
              </w:rPr>
              <w:t>0.00</w:t>
            </w:r>
          </w:p>
        </w:tc>
      </w:tr>
    </w:tbl>
    <w:p>
      <w:pPr>
        <w:shd w:val="clear" w:color="auto" w:fill="FFFFFF"/>
        <w:spacing w:before="100" w:beforeAutospacing="1" w:after="100" w:afterAutospacing="1"/>
      </w:pPr>
      <w:r>
        <w:t>注：本表金额转换为万元时，因四舍五入可能存在尾数差异。</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一般公共预算财政拨款支出决算表</w:t>
      </w:r>
    </w:p>
    <w:p>
      <w:pPr>
        <w:ind w:left="360"/>
        <w:jc w:val="center"/>
        <w:rPr>
          <w:rFonts w:ascii="黑体" w:hAnsi="Arial" w:eastAsia="黑体" w:cs="Arial"/>
          <w:color w:val="000000"/>
          <w:sz w:val="36"/>
          <w:szCs w:val="36"/>
        </w:rPr>
      </w:pPr>
      <w:r>
        <w:rPr>
          <w:rFonts w:hint="eastAsia" w:ascii="黑体" w:hAnsi="Arial" w:eastAsia="黑体" w:cs="Arial"/>
          <w:color w:val="000000"/>
          <w:sz w:val="36"/>
          <w:szCs w:val="36"/>
        </w:rPr>
        <w:t>一般公共财政拨款支出决算表</w:t>
      </w:r>
    </w:p>
    <w:tbl>
      <w:tblPr>
        <w:tblW w:w="92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16"/>
        <w:gridCol w:w="416"/>
        <w:gridCol w:w="416"/>
        <w:gridCol w:w="3956"/>
        <w:gridCol w:w="1116"/>
        <w:gridCol w:w="1437"/>
        <w:gridCol w:w="1469"/>
      </w:tblGrid>
      <w:tr>
        <w:trPr>
          <w:trHeight w:val="300" w:hRule="atLeast"/>
        </w:trPr>
        <w:tc>
          <w:tcPr>
            <w:tcW w:w="5204" w:type="dxa"/>
            <w:gridSpan w:val="4"/>
            <w:tcBorders>
              <w:top w:val="nil"/>
              <w:left w:val="nil"/>
              <w:bottom w:val="single" w:color="000000" w:sz="12" w:space="0"/>
              <w:right w:val="nil"/>
            </w:tcBorders>
            <w:shd w:val="clear" w:color="000000" w:fill="FFFFFF"/>
            <w:vAlign w:val="center"/>
          </w:tcPr>
          <w:p>
            <w:pPr>
              <w:rPr>
                <w:color w:val="000000"/>
                <w:sz w:val="22"/>
                <w:szCs w:val="22"/>
              </w:rPr>
            </w:pPr>
            <w:r>
              <w:rPr>
                <w:rFonts w:hint="eastAsia"/>
                <w:color w:val="000000"/>
                <w:sz w:val="22"/>
                <w:szCs w:val="22"/>
              </w:rPr>
              <w:t>编制单位：厦门市中级人民法院</w:t>
            </w:r>
          </w:p>
        </w:tc>
        <w:tc>
          <w:tcPr>
            <w:tcW w:w="1116" w:type="dxa"/>
            <w:tcBorders>
              <w:top w:val="nil"/>
              <w:left w:val="nil"/>
              <w:bottom w:val="single" w:color="000000" w:sz="12" w:space="0"/>
              <w:right w:val="nil"/>
            </w:tcBorders>
            <w:shd w:val="clear" w:color="000000" w:fill="FFFFFF"/>
            <w:vAlign w:val="center"/>
          </w:tcPr>
          <w:p>
            <w:pPr>
              <w:jc w:val="center"/>
              <w:rPr>
                <w:color w:val="000000"/>
                <w:sz w:val="18"/>
                <w:szCs w:val="18"/>
              </w:rPr>
            </w:pPr>
            <w:r>
              <w:rPr>
                <w:rFonts w:hint="eastAsia"/>
                <w:color w:val="000000"/>
                <w:sz w:val="18"/>
                <w:szCs w:val="18"/>
              </w:rPr>
              <w:t>　</w:t>
            </w:r>
          </w:p>
        </w:tc>
        <w:tc>
          <w:tcPr>
            <w:tcW w:w="2906" w:type="dxa"/>
            <w:gridSpan w:val="2"/>
            <w:tcBorders>
              <w:top w:val="nil"/>
              <w:left w:val="nil"/>
              <w:bottom w:val="single" w:color="000000" w:sz="12" w:space="0"/>
              <w:right w:val="nil"/>
            </w:tcBorders>
            <w:shd w:val="clear" w:color="000000" w:fill="FFFFFF"/>
            <w:vAlign w:val="center"/>
          </w:tcPr>
          <w:p>
            <w:pPr>
              <w:jc w:val="center"/>
              <w:rPr>
                <w:color w:val="000000"/>
                <w:sz w:val="18"/>
                <w:szCs w:val="18"/>
              </w:rPr>
            </w:pPr>
            <w:r>
              <w:rPr>
                <w:rFonts w:hint="eastAsia"/>
                <w:color w:val="000000"/>
                <w:sz w:val="18"/>
                <w:szCs w:val="18"/>
              </w:rPr>
              <w:t>　</w:t>
            </w:r>
          </w:p>
          <w:p>
            <w:pPr>
              <w:jc w:val="right"/>
              <w:rPr>
                <w:color w:val="000000"/>
                <w:sz w:val="22"/>
                <w:szCs w:val="22"/>
              </w:rPr>
            </w:pPr>
            <w:r>
              <w:rPr>
                <w:rFonts w:hint="eastAsia"/>
                <w:color w:val="000000"/>
                <w:sz w:val="22"/>
                <w:szCs w:val="22"/>
              </w:rPr>
              <w:t>金额单位：万元</w:t>
            </w:r>
          </w:p>
        </w:tc>
      </w:tr>
      <w:tr>
        <w:trPr>
          <w:trHeight w:val="315" w:hRule="atLeast"/>
        </w:trPr>
        <w:tc>
          <w:tcPr>
            <w:tcW w:w="5204" w:type="dxa"/>
            <w:gridSpan w:val="4"/>
            <w:tcBorders>
              <w:top w:val="single" w:color="000000" w:sz="12" w:space="0"/>
              <w:left w:val="single" w:color="000000" w:sz="8" w:space="0"/>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项目</w:t>
            </w:r>
          </w:p>
        </w:tc>
        <w:tc>
          <w:tcPr>
            <w:tcW w:w="4022" w:type="dxa"/>
            <w:gridSpan w:val="3"/>
            <w:tcBorders>
              <w:top w:val="single" w:color="000000" w:sz="12" w:space="0"/>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本年支出</w:t>
            </w:r>
          </w:p>
        </w:tc>
      </w:tr>
      <w:tr>
        <w:trPr>
          <w:trHeight w:val="312" w:hRule="atLeast"/>
        </w:trPr>
        <w:tc>
          <w:tcPr>
            <w:tcW w:w="1248" w:type="dxa"/>
            <w:gridSpan w:val="3"/>
            <w:vMerge w:val="restart"/>
            <w:tcBorders>
              <w:top w:val="single" w:color="000000" w:sz="8" w:space="0"/>
              <w:left w:val="single" w:color="000000" w:sz="12" w:space="0"/>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支出功能分类科目编码</w:t>
            </w:r>
          </w:p>
        </w:tc>
        <w:tc>
          <w:tcPr>
            <w:tcW w:w="3956" w:type="dxa"/>
            <w:vMerge w:val="restart"/>
            <w:tcBorders>
              <w:top w:val="nil"/>
              <w:left w:val="single" w:color="000000" w:sz="8" w:space="0"/>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科目名称</w:t>
            </w:r>
          </w:p>
        </w:tc>
        <w:tc>
          <w:tcPr>
            <w:tcW w:w="1116"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小计</w:t>
            </w:r>
          </w:p>
        </w:tc>
        <w:tc>
          <w:tcPr>
            <w:tcW w:w="1437"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基本支出</w:t>
            </w:r>
          </w:p>
        </w:tc>
        <w:tc>
          <w:tcPr>
            <w:tcW w:w="1469" w:type="dxa"/>
            <w:vMerge w:val="restart"/>
            <w:tcBorders>
              <w:top w:val="nil"/>
              <w:left w:val="single" w:color="000000" w:sz="8" w:space="0"/>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项目支出</w:t>
            </w:r>
          </w:p>
        </w:tc>
      </w:tr>
      <w:tr>
        <w:trPr>
          <w:trHeight w:val="312" w:hRule="atLeast"/>
        </w:trPr>
        <w:tc>
          <w:tcPr>
            <w:tcW w:w="1248" w:type="dxa"/>
            <w:gridSpan w:val="3"/>
            <w:vMerge w:val="continue"/>
            <w:tcBorders>
              <w:top w:val="single" w:color="000000" w:sz="8" w:space="0"/>
              <w:left w:val="single" w:color="000000" w:sz="12" w:space="0"/>
              <w:bottom w:val="single" w:color="000000" w:sz="8" w:space="0"/>
              <w:right w:val="single" w:color="000000" w:sz="8" w:space="0"/>
            </w:tcBorders>
            <w:vAlign w:val="center"/>
          </w:tcPr>
          <w:p>
            <w:pPr>
              <w:rPr>
                <w:color w:val="000000"/>
                <w:sz w:val="22"/>
                <w:szCs w:val="22"/>
              </w:rPr>
            </w:pPr>
          </w:p>
        </w:tc>
        <w:tc>
          <w:tcPr>
            <w:tcW w:w="3956" w:type="dxa"/>
            <w:vMerge w:val="continue"/>
            <w:tcBorders>
              <w:top w:val="nil"/>
              <w:left w:val="single" w:color="000000" w:sz="8" w:space="0"/>
              <w:bottom w:val="single" w:color="000000" w:sz="8" w:space="0"/>
              <w:right w:val="single" w:color="000000" w:sz="8" w:space="0"/>
            </w:tcBorders>
            <w:vAlign w:val="center"/>
          </w:tcPr>
          <w:p>
            <w:pPr>
              <w:rPr>
                <w:color w:val="000000"/>
                <w:sz w:val="22"/>
                <w:szCs w:val="22"/>
              </w:rPr>
            </w:pPr>
          </w:p>
        </w:tc>
        <w:tc>
          <w:tcPr>
            <w:tcW w:w="1116" w:type="dxa"/>
            <w:vMerge w:val="continue"/>
            <w:tcBorders>
              <w:top w:val="single" w:color="000000" w:sz="8" w:space="0"/>
              <w:left w:val="single" w:color="000000" w:sz="8" w:space="0"/>
              <w:bottom w:val="single" w:color="000000" w:sz="8" w:space="0"/>
              <w:right w:val="single" w:color="000000" w:sz="8" w:space="0"/>
            </w:tcBorders>
            <w:vAlign w:val="center"/>
          </w:tcPr>
          <w:p>
            <w:pPr>
              <w:rPr>
                <w:color w:val="000000"/>
                <w:sz w:val="22"/>
                <w:szCs w:val="22"/>
              </w:rPr>
            </w:pPr>
          </w:p>
        </w:tc>
        <w:tc>
          <w:tcPr>
            <w:tcW w:w="1437" w:type="dxa"/>
            <w:vMerge w:val="continue"/>
            <w:tcBorders>
              <w:top w:val="single" w:color="000000" w:sz="8" w:space="0"/>
              <w:left w:val="single" w:color="000000" w:sz="8" w:space="0"/>
              <w:bottom w:val="single" w:color="000000" w:sz="8" w:space="0"/>
              <w:right w:val="single" w:color="000000" w:sz="8" w:space="0"/>
            </w:tcBorders>
            <w:vAlign w:val="center"/>
          </w:tcPr>
          <w:p>
            <w:pPr>
              <w:rPr>
                <w:color w:val="000000"/>
                <w:sz w:val="22"/>
                <w:szCs w:val="22"/>
              </w:rPr>
            </w:pPr>
          </w:p>
        </w:tc>
        <w:tc>
          <w:tcPr>
            <w:tcW w:w="1469" w:type="dxa"/>
            <w:vMerge w:val="continue"/>
            <w:tcBorders>
              <w:top w:val="nil"/>
              <w:left w:val="single" w:color="000000" w:sz="8" w:space="0"/>
              <w:bottom w:val="single" w:color="000000" w:sz="8" w:space="0"/>
              <w:right w:val="single" w:color="000000" w:sz="8" w:space="0"/>
            </w:tcBorders>
            <w:vAlign w:val="center"/>
          </w:tcPr>
          <w:p>
            <w:pPr>
              <w:rPr>
                <w:color w:val="000000"/>
                <w:sz w:val="22"/>
                <w:szCs w:val="22"/>
              </w:rPr>
            </w:pPr>
          </w:p>
        </w:tc>
      </w:tr>
      <w:tr>
        <w:trPr>
          <w:trHeight w:val="312" w:hRule="atLeast"/>
        </w:trPr>
        <w:tc>
          <w:tcPr>
            <w:tcW w:w="1248" w:type="dxa"/>
            <w:gridSpan w:val="3"/>
            <w:vMerge w:val="continue"/>
            <w:tcBorders>
              <w:top w:val="single" w:color="000000" w:sz="8" w:space="0"/>
              <w:left w:val="single" w:color="000000" w:sz="12" w:space="0"/>
              <w:bottom w:val="single" w:color="000000" w:sz="8" w:space="0"/>
              <w:right w:val="single" w:color="000000" w:sz="8" w:space="0"/>
            </w:tcBorders>
            <w:vAlign w:val="center"/>
          </w:tcPr>
          <w:p>
            <w:pPr>
              <w:rPr>
                <w:color w:val="000000"/>
                <w:sz w:val="22"/>
                <w:szCs w:val="22"/>
              </w:rPr>
            </w:pPr>
          </w:p>
        </w:tc>
        <w:tc>
          <w:tcPr>
            <w:tcW w:w="3956" w:type="dxa"/>
            <w:vMerge w:val="continue"/>
            <w:tcBorders>
              <w:top w:val="nil"/>
              <w:left w:val="single" w:color="000000" w:sz="8" w:space="0"/>
              <w:bottom w:val="single" w:color="000000" w:sz="8" w:space="0"/>
              <w:right w:val="single" w:color="000000" w:sz="8" w:space="0"/>
            </w:tcBorders>
            <w:vAlign w:val="center"/>
          </w:tcPr>
          <w:p>
            <w:pPr>
              <w:rPr>
                <w:color w:val="000000"/>
                <w:sz w:val="22"/>
                <w:szCs w:val="22"/>
              </w:rPr>
            </w:pPr>
          </w:p>
        </w:tc>
        <w:tc>
          <w:tcPr>
            <w:tcW w:w="1116" w:type="dxa"/>
            <w:vMerge w:val="continue"/>
            <w:tcBorders>
              <w:top w:val="single" w:color="000000" w:sz="8" w:space="0"/>
              <w:left w:val="single" w:color="000000" w:sz="8" w:space="0"/>
              <w:bottom w:val="single" w:color="000000" w:sz="8" w:space="0"/>
              <w:right w:val="single" w:color="000000" w:sz="8" w:space="0"/>
            </w:tcBorders>
            <w:vAlign w:val="center"/>
          </w:tcPr>
          <w:p>
            <w:pPr>
              <w:rPr>
                <w:color w:val="000000"/>
                <w:sz w:val="22"/>
                <w:szCs w:val="22"/>
              </w:rPr>
            </w:pPr>
          </w:p>
        </w:tc>
        <w:tc>
          <w:tcPr>
            <w:tcW w:w="1437" w:type="dxa"/>
            <w:vMerge w:val="continue"/>
            <w:tcBorders>
              <w:top w:val="single" w:color="000000" w:sz="8" w:space="0"/>
              <w:left w:val="single" w:color="000000" w:sz="8" w:space="0"/>
              <w:bottom w:val="single" w:color="000000" w:sz="8" w:space="0"/>
              <w:right w:val="single" w:color="000000" w:sz="8" w:space="0"/>
            </w:tcBorders>
            <w:vAlign w:val="center"/>
          </w:tcPr>
          <w:p>
            <w:pPr>
              <w:rPr>
                <w:color w:val="000000"/>
                <w:sz w:val="22"/>
                <w:szCs w:val="22"/>
              </w:rPr>
            </w:pPr>
          </w:p>
        </w:tc>
        <w:tc>
          <w:tcPr>
            <w:tcW w:w="1469" w:type="dxa"/>
            <w:vMerge w:val="continue"/>
            <w:tcBorders>
              <w:top w:val="nil"/>
              <w:left w:val="single" w:color="000000" w:sz="8" w:space="0"/>
              <w:bottom w:val="single" w:color="000000" w:sz="8" w:space="0"/>
              <w:right w:val="single" w:color="000000" w:sz="8" w:space="0"/>
            </w:tcBorders>
            <w:vAlign w:val="center"/>
          </w:tcPr>
          <w:p>
            <w:pPr>
              <w:rPr>
                <w:color w:val="000000"/>
                <w:sz w:val="22"/>
                <w:szCs w:val="22"/>
              </w:rPr>
            </w:pPr>
          </w:p>
        </w:tc>
      </w:tr>
      <w:tr>
        <w:trPr>
          <w:trHeight w:val="300" w:hRule="atLeast"/>
        </w:trPr>
        <w:tc>
          <w:tcPr>
            <w:tcW w:w="416" w:type="dxa"/>
            <w:tcBorders>
              <w:top w:val="nil"/>
              <w:left w:val="single" w:color="000000" w:sz="12" w:space="0"/>
              <w:bottom w:val="single" w:color="000000" w:sz="8" w:space="0"/>
              <w:right w:val="single" w:color="000000" w:sz="8" w:space="0"/>
            </w:tcBorders>
            <w:shd w:val="clear" w:color="000000" w:fill="FFFFFF"/>
            <w:vAlign w:val="center"/>
          </w:tcPr>
          <w:p>
            <w:pPr>
              <w:jc w:val="center"/>
              <w:rPr>
                <w:color w:val="000000"/>
                <w:sz w:val="20"/>
                <w:szCs w:val="20"/>
              </w:rPr>
            </w:pPr>
            <w:r>
              <w:rPr>
                <w:rFonts w:hint="eastAsia"/>
                <w:color w:val="000000"/>
                <w:sz w:val="20"/>
                <w:szCs w:val="20"/>
              </w:rPr>
              <w:t>类</w:t>
            </w:r>
          </w:p>
        </w:tc>
        <w:tc>
          <w:tcPr>
            <w:tcW w:w="416" w:type="dxa"/>
            <w:tcBorders>
              <w:top w:val="nil"/>
              <w:left w:val="nil"/>
              <w:bottom w:val="single" w:color="000000" w:sz="8" w:space="0"/>
              <w:right w:val="single" w:color="000000" w:sz="8" w:space="0"/>
            </w:tcBorders>
            <w:shd w:val="clear" w:color="000000" w:fill="FFFFFF"/>
            <w:vAlign w:val="center"/>
          </w:tcPr>
          <w:p>
            <w:pPr>
              <w:jc w:val="center"/>
              <w:rPr>
                <w:color w:val="000000"/>
                <w:sz w:val="20"/>
                <w:szCs w:val="20"/>
              </w:rPr>
            </w:pPr>
            <w:r>
              <w:rPr>
                <w:rFonts w:hint="eastAsia"/>
                <w:color w:val="000000"/>
                <w:sz w:val="20"/>
                <w:szCs w:val="20"/>
              </w:rPr>
              <w:t>款</w:t>
            </w:r>
          </w:p>
        </w:tc>
        <w:tc>
          <w:tcPr>
            <w:tcW w:w="416" w:type="dxa"/>
            <w:tcBorders>
              <w:top w:val="nil"/>
              <w:left w:val="nil"/>
              <w:bottom w:val="single" w:color="000000" w:sz="8" w:space="0"/>
              <w:right w:val="single" w:color="000000" w:sz="8" w:space="0"/>
            </w:tcBorders>
            <w:shd w:val="clear" w:color="000000" w:fill="FFFFFF"/>
            <w:vAlign w:val="center"/>
          </w:tcPr>
          <w:p>
            <w:pPr>
              <w:jc w:val="center"/>
              <w:rPr>
                <w:color w:val="000000"/>
                <w:sz w:val="20"/>
                <w:szCs w:val="20"/>
              </w:rPr>
            </w:pPr>
            <w:r>
              <w:rPr>
                <w:rFonts w:hint="eastAsia"/>
                <w:color w:val="000000"/>
                <w:sz w:val="20"/>
                <w:szCs w:val="20"/>
              </w:rPr>
              <w:t>项</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0"/>
                <w:szCs w:val="20"/>
              </w:rPr>
            </w:pPr>
            <w:r>
              <w:rPr>
                <w:rFonts w:hint="eastAsia"/>
                <w:color w:val="000000"/>
                <w:sz w:val="20"/>
                <w:szCs w:val="20"/>
              </w:rPr>
              <w:t>合计</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16,843.23</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14,624.55</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2,218.68</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公共安全支出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15,322.42</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13,323.47</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1,998.95</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20405</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法院</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15,322.42</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13,323.47</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1,998.95</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2040501</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行政运行</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13,323.47</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13,323.47</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2040502</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一般行政管理事务</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433.17</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433.17</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2040504</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案件审判</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1,449.24</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1,449.24</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2040505</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案件执行</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66.04</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66.04</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2040599</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其他法院支出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50.5</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50.5</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206</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科学技术支出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219.73</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219.73</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20605</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科技条件与服务</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219.73</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219.73</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2060599</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其他科技条件与服务支出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219.73</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219.73</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208</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社会保障和就业支出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987.37</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987.37</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20805</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行政事业单位离退休</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987.37</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987.37</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2080501</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归口管理的行政单位离退休</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475.54</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475.54</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2080505</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机关事业单位基本养老保险缴费支出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511.83</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511.83</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2080506</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机关事业单位职业年金缴费支出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210</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医疗卫生与计划生育支出</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313.71</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313.71</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21011</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行政事业单位医疗</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313.71</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313.71</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2101101</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行政单位医疗</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216.01</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216.01</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r>
        <w:trPr>
          <w:trHeight w:val="300" w:hRule="atLeast"/>
        </w:trPr>
        <w:tc>
          <w:tcPr>
            <w:tcW w:w="1248" w:type="dxa"/>
            <w:gridSpan w:val="3"/>
            <w:tcBorders>
              <w:top w:val="single" w:color="000000" w:sz="8" w:space="0"/>
              <w:left w:val="single" w:color="000000" w:sz="12" w:space="0"/>
              <w:bottom w:val="single" w:color="000000" w:sz="8" w:space="0"/>
              <w:right w:val="single" w:color="000000" w:sz="8" w:space="0"/>
            </w:tcBorders>
            <w:shd w:val="clear" w:color="000000" w:fill="FFFFFF"/>
            <w:vAlign w:val="center"/>
          </w:tcPr>
          <w:p>
            <w:pPr>
              <w:jc w:val="right"/>
              <w:rPr>
                <w:color w:val="000000"/>
                <w:sz w:val="22"/>
                <w:szCs w:val="22"/>
              </w:rPr>
            </w:pPr>
            <w:r>
              <w:rPr>
                <w:rFonts w:hint="eastAsia"/>
                <w:color w:val="000000"/>
                <w:sz w:val="22"/>
                <w:szCs w:val="22"/>
              </w:rPr>
              <w:t>2101103</w:t>
            </w:r>
          </w:p>
        </w:tc>
        <w:tc>
          <w:tcPr>
            <w:tcW w:w="3956" w:type="dxa"/>
            <w:tcBorders>
              <w:top w:val="nil"/>
              <w:left w:val="nil"/>
              <w:bottom w:val="single" w:color="000000" w:sz="8" w:space="0"/>
              <w:right w:val="single" w:color="000000" w:sz="8" w:space="0"/>
            </w:tcBorders>
            <w:shd w:val="clear" w:color="000000" w:fill="FFFFFF"/>
            <w:vAlign w:val="center"/>
          </w:tcPr>
          <w:p>
            <w:pPr>
              <w:rPr>
                <w:color w:val="000000"/>
                <w:sz w:val="22"/>
                <w:szCs w:val="22"/>
              </w:rPr>
            </w:pPr>
            <w:r>
              <w:rPr>
                <w:rFonts w:hint="eastAsia"/>
                <w:color w:val="000000"/>
                <w:sz w:val="22"/>
                <w:szCs w:val="22"/>
              </w:rPr>
              <w:t xml:space="preserve">  公务员医疗补助</w:t>
            </w:r>
          </w:p>
        </w:tc>
        <w:tc>
          <w:tcPr>
            <w:tcW w:w="1116"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97.7</w:t>
            </w:r>
          </w:p>
        </w:tc>
        <w:tc>
          <w:tcPr>
            <w:tcW w:w="1437" w:type="dxa"/>
            <w:tcBorders>
              <w:top w:val="single" w:color="000000" w:sz="8" w:space="0"/>
              <w:left w:val="nil"/>
              <w:bottom w:val="single" w:color="000000" w:sz="8" w:space="0"/>
              <w:right w:val="single" w:color="000000" w:sz="8"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97.7</w:t>
            </w:r>
          </w:p>
        </w:tc>
        <w:tc>
          <w:tcPr>
            <w:tcW w:w="1469" w:type="dxa"/>
            <w:tcBorders>
              <w:top w:val="nil"/>
              <w:left w:val="nil"/>
              <w:bottom w:val="single" w:color="000000" w:sz="8" w:space="0"/>
              <w:right w:val="single" w:color="000000" w:sz="12" w:space="0"/>
            </w:tcBorders>
            <w:shd w:val="clear" w:color="000000" w:fill="FFFFFF"/>
            <w:vAlign w:val="center"/>
          </w:tcPr>
          <w:p>
            <w:pPr>
              <w:jc w:val="right"/>
              <w:rPr>
                <w:rFonts w:ascii="仿宋" w:hAnsi="仿宋" w:eastAsia="仿宋"/>
                <w:color w:val="000000"/>
                <w:sz w:val="20"/>
                <w:szCs w:val="20"/>
              </w:rPr>
            </w:pPr>
            <w:r>
              <w:rPr>
                <w:rFonts w:hint="eastAsia" w:ascii="仿宋" w:hAnsi="仿宋" w:eastAsia="仿宋"/>
                <w:color w:val="000000"/>
                <w:sz w:val="20"/>
                <w:szCs w:val="20"/>
              </w:rPr>
              <w:t>0</w:t>
            </w:r>
          </w:p>
        </w:tc>
      </w:tr>
    </w:tbl>
    <w:p>
      <w:pPr>
        <w:shd w:val="clear" w:color="auto" w:fill="FFFFFF"/>
        <w:spacing w:before="100" w:beforeAutospacing="1" w:after="100" w:afterAutospacing="1"/>
      </w:pPr>
      <w:r>
        <w:t>注：本表金额转换为万元时，因四舍五入可能存在尾数差异。</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一般公共预算财政拨款支出决算明细表</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33"/>
        <w:gridCol w:w="4394"/>
        <w:gridCol w:w="3402"/>
      </w:tblGrid>
      <w:tr>
        <w:trPr>
          <w:trHeight w:val="585" w:hRule="atLeast"/>
        </w:trPr>
        <w:tc>
          <w:tcPr>
            <w:tcW w:w="9229" w:type="dxa"/>
            <w:gridSpan w:val="3"/>
            <w:vAlign w:val="center"/>
          </w:tcPr>
          <w:p>
            <w:pPr>
              <w:spacing w:before="100" w:beforeAutospacing="1" w:after="100" w:afterAutospacing="1"/>
              <w:jc w:val="center"/>
              <w:rPr>
                <w:rFonts w:ascii="黑体" w:hAnsi="Arial" w:eastAsia="黑体" w:cs="Arial"/>
                <w:color w:val="000000"/>
                <w:sz w:val="44"/>
                <w:szCs w:val="44"/>
              </w:rPr>
            </w:pPr>
            <w:r>
              <w:rPr>
                <w:rFonts w:hint="eastAsia" w:ascii="黑体" w:hAnsi="Arial" w:eastAsia="黑体" w:cs="Arial"/>
                <w:color w:val="000000"/>
                <w:sz w:val="36"/>
                <w:szCs w:val="36"/>
              </w:rPr>
              <w:t>一般公共预算财政拨款支出决算明细表</w:t>
            </w:r>
          </w:p>
        </w:tc>
      </w:tr>
      <w:tr>
        <w:trPr>
          <w:trHeight w:val="585" w:hRule="atLeast"/>
        </w:trPr>
        <w:tc>
          <w:tcPr>
            <w:tcW w:w="5827" w:type="dxa"/>
            <w:gridSpan w:val="2"/>
            <w:tcBorders>
              <w:top w:val="nil"/>
              <w:left w:val="nil"/>
              <w:bottom w:val="single" w:color="000000" w:sz="4" w:space="0"/>
            </w:tcBorders>
            <w:vAlign w:val="center"/>
          </w:tcPr>
          <w:p>
            <w:pPr>
              <w:rPr>
                <w:sz w:val="22"/>
                <w:szCs w:val="22"/>
              </w:rPr>
            </w:pPr>
            <w:r>
              <w:rPr>
                <w:rFonts w:hint="eastAsia"/>
                <w:sz w:val="22"/>
                <w:szCs w:val="22"/>
              </w:rPr>
              <w:t>编制单位：厦门市中级人民法院</w:t>
            </w:r>
          </w:p>
        </w:tc>
        <w:tc>
          <w:tcPr>
            <w:tcW w:w="3402" w:type="dxa"/>
            <w:tcBorders>
              <w:top w:val="nil"/>
              <w:left w:val="nil"/>
              <w:bottom w:val="single" w:color="000000" w:sz="4" w:space="0"/>
              <w:right w:val="nil"/>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金额单位：万元</w:t>
            </w:r>
          </w:p>
        </w:tc>
      </w:tr>
      <w:tr>
        <w:trPr>
          <w:trHeight w:val="585" w:hRule="atLeast"/>
        </w:trPr>
        <w:tc>
          <w:tcPr>
            <w:tcW w:w="5827" w:type="dxa"/>
            <w:gridSpan w:val="2"/>
            <w:tcBorders>
              <w:top w:val="single" w:color="000000" w:sz="8"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3402" w:type="dxa"/>
            <w:vMerge w:val="restart"/>
            <w:tcBorders>
              <w:top w:val="single" w:color="000000" w:sz="8" w:space="0"/>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 xml:space="preserve">合     计 </w:t>
            </w:r>
          </w:p>
        </w:tc>
      </w:tr>
      <w:tr>
        <w:trPr>
          <w:trHeight w:val="585" w:hRule="atLeast"/>
        </w:trPr>
        <w:tc>
          <w:tcPr>
            <w:tcW w:w="1433"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经济分类科目编码</w:t>
            </w:r>
          </w:p>
        </w:tc>
        <w:tc>
          <w:tcPr>
            <w:tcW w:w="4394"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3402" w:type="dxa"/>
            <w:vMerge w:val="continue"/>
            <w:tcBorders>
              <w:top w:val="single" w:color="000000" w:sz="8" w:space="0"/>
              <w:left w:val="nil"/>
              <w:bottom w:val="single" w:color="000000" w:sz="4" w:space="0"/>
              <w:right w:val="single" w:color="000000" w:sz="4" w:space="0"/>
            </w:tcBorders>
            <w:vAlign w:val="center"/>
          </w:tcPr>
          <w:p>
            <w:pPr>
              <w:rPr>
                <w:rFonts w:cs="Arial"/>
                <w:color w:val="000000"/>
                <w:sz w:val="22"/>
                <w:szCs w:val="22"/>
              </w:rPr>
            </w:pPr>
          </w:p>
        </w:tc>
      </w:tr>
      <w:tr>
        <w:trPr>
          <w:trHeight w:val="585" w:hRule="atLeast"/>
        </w:trPr>
        <w:tc>
          <w:tcPr>
            <w:tcW w:w="5827" w:type="dxa"/>
            <w:gridSpan w:val="2"/>
            <w:tcBorders>
              <w:top w:val="single" w:color="000000" w:sz="4"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合         计</w:t>
            </w:r>
          </w:p>
        </w:tc>
        <w:tc>
          <w:tcPr>
            <w:tcW w:w="3402"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r>
      <w:tr>
        <w:trPr>
          <w:trHeight w:val="225" w:hRule="atLeast"/>
        </w:trPr>
        <w:tc>
          <w:tcPr>
            <w:tcW w:w="1433"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301</w:t>
            </w:r>
          </w:p>
        </w:tc>
        <w:tc>
          <w:tcPr>
            <w:tcW w:w="4394" w:type="dxa"/>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工资福利支出</w:t>
            </w:r>
          </w:p>
        </w:tc>
        <w:tc>
          <w:tcPr>
            <w:tcW w:w="3402"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12,097.40</w:t>
            </w:r>
            <w:r>
              <w:rPr>
                <w:rFonts w:hint="eastAsia" w:cs="Arial"/>
                <w:color w:val="000000"/>
                <w:sz w:val="20"/>
                <w:szCs w:val="20"/>
              </w:rPr>
              <w:t>　</w:t>
            </w:r>
          </w:p>
        </w:tc>
      </w:tr>
      <w:tr>
        <w:trPr>
          <w:trHeight w:val="272" w:hRule="atLeast"/>
        </w:trPr>
        <w:tc>
          <w:tcPr>
            <w:tcW w:w="1433"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302</w:t>
            </w:r>
          </w:p>
        </w:tc>
        <w:tc>
          <w:tcPr>
            <w:tcW w:w="4394" w:type="dxa"/>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商品和服务支出</w:t>
            </w:r>
          </w:p>
        </w:tc>
        <w:tc>
          <w:tcPr>
            <w:tcW w:w="3402"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3,215.98</w:t>
            </w:r>
            <w:r>
              <w:rPr>
                <w:rFonts w:hint="eastAsia" w:cs="Arial"/>
                <w:color w:val="000000"/>
                <w:sz w:val="20"/>
                <w:szCs w:val="20"/>
              </w:rPr>
              <w:t>　</w:t>
            </w:r>
          </w:p>
        </w:tc>
      </w:tr>
      <w:tr>
        <w:trPr>
          <w:trHeight w:val="305" w:hRule="atLeast"/>
        </w:trPr>
        <w:tc>
          <w:tcPr>
            <w:tcW w:w="1433" w:type="dxa"/>
            <w:tcBorders>
              <w:top w:val="nil"/>
              <w:left w:val="single" w:color="000000" w:sz="8" w:space="0"/>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303</w:t>
            </w:r>
          </w:p>
        </w:tc>
        <w:tc>
          <w:tcPr>
            <w:tcW w:w="4394" w:type="dxa"/>
            <w:tcBorders>
              <w:top w:val="nil"/>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对个人和家庭的补助</w:t>
            </w:r>
          </w:p>
        </w:tc>
        <w:tc>
          <w:tcPr>
            <w:tcW w:w="3402" w:type="dxa"/>
            <w:tcBorders>
              <w:top w:val="nil"/>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516.85</w:t>
            </w:r>
            <w:r>
              <w:rPr>
                <w:rFonts w:hint="eastAsia" w:cs="Arial"/>
                <w:color w:val="000000"/>
                <w:sz w:val="20"/>
                <w:szCs w:val="20"/>
              </w:rPr>
              <w:t>　</w:t>
            </w:r>
          </w:p>
        </w:tc>
      </w:tr>
      <w:tr>
        <w:trPr>
          <w:trHeight w:val="252" w:hRule="atLeast"/>
        </w:trPr>
        <w:tc>
          <w:tcPr>
            <w:tcW w:w="14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308</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资本性支出（基本建设）</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229" w:hRule="atLeast"/>
        </w:trPr>
        <w:tc>
          <w:tcPr>
            <w:tcW w:w="14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310</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资本性支出</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1,012.99</w:t>
            </w:r>
            <w:r>
              <w:rPr>
                <w:rFonts w:hint="eastAsia" w:cs="Arial"/>
                <w:color w:val="000000"/>
                <w:sz w:val="20"/>
                <w:szCs w:val="20"/>
              </w:rPr>
              <w:t>　</w:t>
            </w:r>
          </w:p>
        </w:tc>
      </w:tr>
      <w:tr>
        <w:trPr>
          <w:trHeight w:val="333" w:hRule="atLeast"/>
        </w:trPr>
        <w:tc>
          <w:tcPr>
            <w:tcW w:w="1433" w:type="dxa"/>
            <w:tcBorders>
              <w:top w:val="single" w:color="auto" w:sz="4" w:space="0"/>
              <w:left w:val="single" w:color="000000" w:sz="8" w:space="0"/>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311</w:t>
            </w:r>
          </w:p>
        </w:tc>
        <w:tc>
          <w:tcPr>
            <w:tcW w:w="4394" w:type="dxa"/>
            <w:tcBorders>
              <w:top w:val="single" w:color="auto" w:sz="4" w:space="0"/>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对企业补贴（基本建设）</w:t>
            </w:r>
          </w:p>
        </w:tc>
        <w:tc>
          <w:tcPr>
            <w:tcW w:w="3402" w:type="dxa"/>
            <w:tcBorders>
              <w:top w:val="single" w:color="auto" w:sz="4" w:space="0"/>
              <w:left w:val="nil"/>
              <w:bottom w:val="single" w:color="auto" w:sz="4" w:space="0"/>
              <w:right w:val="single" w:color="000000"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267" w:hRule="atLeast"/>
        </w:trPr>
        <w:tc>
          <w:tcPr>
            <w:tcW w:w="14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312</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对企业补贴</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371" w:hRule="atLeast"/>
        </w:trPr>
        <w:tc>
          <w:tcPr>
            <w:tcW w:w="143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307</w:t>
            </w:r>
          </w:p>
        </w:tc>
        <w:tc>
          <w:tcPr>
            <w:tcW w:w="4394"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债务利息及费用支出</w:t>
            </w:r>
          </w:p>
        </w:tc>
        <w:tc>
          <w:tcPr>
            <w:tcW w:w="340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rPr>
          <w:trHeight w:val="262" w:hRule="atLeast"/>
        </w:trPr>
        <w:tc>
          <w:tcPr>
            <w:tcW w:w="1433"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399</w:t>
            </w:r>
          </w:p>
        </w:tc>
        <w:tc>
          <w:tcPr>
            <w:tcW w:w="4394" w:type="dxa"/>
            <w:tcBorders>
              <w:top w:val="nil"/>
              <w:left w:val="nil"/>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cs="Arial"/>
                <w:color w:val="000000"/>
                <w:sz w:val="22"/>
                <w:szCs w:val="22"/>
              </w:rPr>
              <w:t>其他支出</w:t>
            </w:r>
          </w:p>
        </w:tc>
        <w:tc>
          <w:tcPr>
            <w:tcW w:w="3402" w:type="dxa"/>
            <w:tcBorders>
              <w:top w:val="nil"/>
              <w:left w:val="nil"/>
              <w:bottom w:val="single" w:color="auto" w:sz="4" w:space="0"/>
              <w:right w:val="single" w:color="auto" w:sz="4" w:space="0"/>
            </w:tcBorders>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bl>
    <w:p>
      <w:pPr>
        <w:shd w:val="clear" w:color="auto" w:fill="FFFFFF"/>
        <w:spacing w:before="100" w:beforeAutospacing="1" w:after="100" w:afterAutospacing="1"/>
      </w:pPr>
      <w:r>
        <w:t>注：本表金额转换为万元时，因四舍五入可能存在尾数差异。</w:t>
      </w:r>
    </w:p>
    <w:p>
      <w:pPr>
        <w:shd w:val="clear" w:color="auto" w:fill="FFFFFF"/>
        <w:spacing w:before="100" w:beforeAutospacing="1" w:after="100" w:afterAutospacing="1"/>
      </w:pPr>
    </w:p>
    <w:p>
      <w:pPr>
        <w:shd w:val="clear" w:color="auto" w:fill="FFFFFF"/>
        <w:spacing w:before="100" w:beforeAutospacing="1" w:after="100" w:afterAutospacing="1"/>
      </w:pPr>
    </w:p>
    <w:p>
      <w:pPr>
        <w:shd w:val="clear" w:color="auto" w:fill="FFFFFF"/>
        <w:spacing w:before="100" w:beforeAutospacing="1" w:after="100" w:afterAutospacing="1"/>
      </w:pP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 xml:space="preserve">一般公共预算财政拨款基本支出决算表 </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1418"/>
        <w:gridCol w:w="1417"/>
        <w:gridCol w:w="709"/>
        <w:gridCol w:w="1134"/>
        <w:gridCol w:w="1134"/>
        <w:gridCol w:w="567"/>
        <w:gridCol w:w="992"/>
        <w:gridCol w:w="352"/>
        <w:gridCol w:w="782"/>
      </w:tblGrid>
      <w:tr>
        <w:trPr>
          <w:gridAfter w:val="1"/>
          <w:wAfter w:w="782" w:type="dxa"/>
          <w:trHeight w:val="440" w:hRule="atLeast"/>
        </w:trPr>
        <w:tc>
          <w:tcPr>
            <w:tcW w:w="8447" w:type="dxa"/>
            <w:gridSpan w:val="9"/>
            <w:vAlign w:val="center"/>
          </w:tcPr>
          <w:p>
            <w:pPr>
              <w:spacing w:before="100" w:beforeAutospacing="1" w:after="100" w:afterAutospacing="1"/>
              <w:ind w:firstLine="1800" w:firstLineChars="500"/>
              <w:rPr>
                <w:rFonts w:ascii="黑体" w:hAnsi="Arial" w:eastAsia="黑体" w:cs="Arial"/>
                <w:color w:val="000000"/>
                <w:sz w:val="44"/>
                <w:szCs w:val="44"/>
              </w:rPr>
            </w:pPr>
            <w:r>
              <w:rPr>
                <w:rFonts w:hint="eastAsia" w:ascii="黑体" w:hAnsi="Arial" w:eastAsia="黑体" w:cs="Arial"/>
                <w:color w:val="000000"/>
                <w:sz w:val="36"/>
                <w:szCs w:val="36"/>
              </w:rPr>
              <w:t>一般公共预算财政拨款基本支出决算表</w:t>
            </w:r>
          </w:p>
        </w:tc>
      </w:tr>
      <w:tr>
        <w:trPr>
          <w:gridAfter w:val="1"/>
          <w:wAfter w:w="782" w:type="dxa"/>
          <w:trHeight w:val="440" w:hRule="atLeast"/>
        </w:trPr>
        <w:tc>
          <w:tcPr>
            <w:tcW w:w="8447" w:type="dxa"/>
            <w:gridSpan w:val="9"/>
            <w:vAlign w:val="center"/>
          </w:tcPr>
          <w:p>
            <w:pPr>
              <w:spacing w:before="100" w:beforeAutospacing="1" w:after="100" w:afterAutospacing="1"/>
              <w:ind w:firstLine="1800" w:firstLineChars="500"/>
              <w:rPr>
                <w:rFonts w:ascii="黑体" w:hAnsi="Arial" w:eastAsia="黑体" w:cs="Arial"/>
                <w:color w:val="000000"/>
                <w:sz w:val="36"/>
                <w:szCs w:val="36"/>
              </w:rPr>
            </w:pPr>
          </w:p>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编制单位：厦门市中级人民法院                              金额单位：万元</w:t>
            </w:r>
          </w:p>
        </w:tc>
      </w:tr>
      <w:tr>
        <w:trPr>
          <w:trHeight w:val="245" w:hRule="atLeast"/>
        </w:trPr>
        <w:tc>
          <w:tcPr>
            <w:tcW w:w="3559"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人员经费</w:t>
            </w:r>
          </w:p>
        </w:tc>
        <w:tc>
          <w:tcPr>
            <w:tcW w:w="5670" w:type="dxa"/>
            <w:gridSpan w:val="7"/>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公用经费</w:t>
            </w:r>
          </w:p>
        </w:tc>
      </w:tr>
      <w:tr>
        <w:trPr>
          <w:trHeight w:val="312" w:hRule="atLeast"/>
        </w:trPr>
        <w:tc>
          <w:tcPr>
            <w:tcW w:w="72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w:t>
            </w:r>
            <w:r>
              <w:rPr>
                <w:rFonts w:hint="eastAsia" w:cs="Arial"/>
                <w:color w:val="000000"/>
                <w:sz w:val="22"/>
                <w:szCs w:val="22"/>
              </w:rPr>
              <w:br/>
            </w:r>
            <w:r>
              <w:rPr>
                <w:rFonts w:hint="eastAsia" w:cs="Arial"/>
                <w:color w:val="000000"/>
                <w:sz w:val="22"/>
                <w:szCs w:val="22"/>
              </w:rPr>
              <w:t>编码</w:t>
            </w:r>
          </w:p>
        </w:tc>
        <w:tc>
          <w:tcPr>
            <w:tcW w:w="1418"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1417"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c>
          <w:tcPr>
            <w:tcW w:w="709"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w:t>
            </w:r>
            <w:r>
              <w:rPr>
                <w:rFonts w:hint="eastAsia" w:cs="Arial"/>
                <w:color w:val="000000"/>
                <w:sz w:val="22"/>
                <w:szCs w:val="22"/>
              </w:rPr>
              <w:br/>
            </w:r>
            <w:r>
              <w:rPr>
                <w:rFonts w:hint="eastAsia" w:cs="Arial"/>
                <w:color w:val="000000"/>
                <w:sz w:val="22"/>
                <w:szCs w:val="22"/>
              </w:rPr>
              <w:t>编码</w:t>
            </w:r>
          </w:p>
        </w:tc>
        <w:tc>
          <w:tcPr>
            <w:tcW w:w="113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1134"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c>
          <w:tcPr>
            <w:tcW w:w="567"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w:t>
            </w:r>
            <w:r>
              <w:rPr>
                <w:rFonts w:hint="eastAsia" w:cs="Arial"/>
                <w:color w:val="000000"/>
                <w:sz w:val="22"/>
                <w:szCs w:val="22"/>
              </w:rPr>
              <w:br/>
            </w:r>
            <w:r>
              <w:rPr>
                <w:rFonts w:hint="eastAsia" w:cs="Arial"/>
                <w:color w:val="000000"/>
                <w:sz w:val="22"/>
                <w:szCs w:val="22"/>
              </w:rPr>
              <w:t>编码</w:t>
            </w:r>
          </w:p>
        </w:tc>
        <w:tc>
          <w:tcPr>
            <w:tcW w:w="992"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1134" w:type="dxa"/>
            <w:gridSpan w:val="2"/>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r>
      <w:tr>
        <w:trPr>
          <w:trHeight w:val="312"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418"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709"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992"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r>
      <w:tr>
        <w:trPr>
          <w:trHeight w:val="312"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418"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709"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992" w:type="dxa"/>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工资福利支出</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12,097.40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商品和服务支出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1,994.26</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资本性支出</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16.03</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30101</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基本工资</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1,223.33</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30201</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办公费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155.49</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31001</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房屋建筑物购建</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30102</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津贴补贴</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3,106.31</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30202</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印刷费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5.17</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31002</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办公设备购置</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16.03</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30103</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奖金</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5,184.63</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30203</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咨询费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31003</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专用设备购置</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30106</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伙食补助费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48.21</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30204</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手续费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0.02</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31005</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基础设施建设</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30107</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绩效工资</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30205</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水费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7.79</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31006</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大型修缮</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391"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30108</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机关事业单位基本养老保险缴费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511.83</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30206</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电费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205.19</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31007</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信息网络及软件购置更新</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30109</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职业年金缴费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30207</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邮电费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79.99</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31008</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物资储备</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08"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30110</w:t>
            </w:r>
          </w:p>
        </w:tc>
        <w:tc>
          <w:tcPr>
            <w:tcW w:w="1418" w:type="dxa"/>
            <w:tcBorders>
              <w:top w:val="nil"/>
              <w:left w:val="nil"/>
              <w:bottom w:val="single" w:color="auto" w:sz="4" w:space="0"/>
              <w:right w:val="single" w:color="auto" w:sz="4" w:space="0"/>
            </w:tcBorders>
            <w:vAlign w:val="bottom"/>
          </w:tcPr>
          <w:p>
            <w:pPr>
              <w:spacing w:before="100" w:beforeAutospacing="1" w:after="100" w:afterAutospacing="1"/>
              <w:rPr>
                <w:sz w:val="22"/>
                <w:szCs w:val="22"/>
              </w:rPr>
            </w:pPr>
            <w:r>
              <w:rPr>
                <w:sz w:val="22"/>
                <w:szCs w:val="22"/>
              </w:rPr>
              <w:t xml:space="preserve">  </w:t>
            </w:r>
            <w:r>
              <w:rPr>
                <w:rFonts w:hint="eastAsia" w:cs="Arial"/>
                <w:color w:val="000000"/>
                <w:sz w:val="22"/>
                <w:szCs w:val="22"/>
              </w:rPr>
              <w:t>职工基本医疗保险缴费</w:t>
            </w:r>
          </w:p>
        </w:tc>
        <w:tc>
          <w:tcPr>
            <w:tcW w:w="1417" w:type="dxa"/>
            <w:tcBorders>
              <w:top w:val="nil"/>
              <w:left w:val="nil"/>
              <w:bottom w:val="single" w:color="auto" w:sz="4" w:space="0"/>
              <w:right w:val="single" w:color="auto" w:sz="4" w:space="0"/>
            </w:tcBorders>
            <w:vAlign w:val="bottom"/>
          </w:tcPr>
          <w:p>
            <w:pPr>
              <w:spacing w:before="100" w:beforeAutospacing="1" w:after="100" w:afterAutospacing="1"/>
              <w:ind w:right="200"/>
              <w:jc w:val="right"/>
              <w:rPr>
                <w:rFonts w:ascii="仿宋" w:hAnsi="仿宋" w:eastAsia="仿宋"/>
                <w:sz w:val="20"/>
                <w:szCs w:val="20"/>
              </w:rPr>
            </w:pPr>
            <w:r>
              <w:rPr>
                <w:rFonts w:hint="eastAsia" w:ascii="仿宋" w:hAnsi="仿宋" w:eastAsia="仿宋" w:cs="仿宋_GB2312"/>
                <w:color w:val="333333"/>
                <w:sz w:val="20"/>
                <w:szCs w:val="20"/>
              </w:rPr>
              <w:t>186.01</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302019</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取暖费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31009</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土地补偿</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08"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30111</w:t>
            </w:r>
          </w:p>
        </w:tc>
        <w:tc>
          <w:tcPr>
            <w:tcW w:w="1418" w:type="dxa"/>
            <w:tcBorders>
              <w:top w:val="nil"/>
              <w:left w:val="nil"/>
              <w:bottom w:val="single" w:color="auto" w:sz="4" w:space="0"/>
              <w:right w:val="single" w:color="auto" w:sz="4" w:space="0"/>
            </w:tcBorders>
            <w:vAlign w:val="bottom"/>
          </w:tcPr>
          <w:p>
            <w:pPr>
              <w:spacing w:before="100" w:beforeAutospacing="1" w:after="100" w:afterAutospacing="1"/>
              <w:rPr>
                <w:sz w:val="22"/>
                <w:szCs w:val="22"/>
              </w:rPr>
            </w:pPr>
            <w:r>
              <w:rPr>
                <w:sz w:val="22"/>
                <w:szCs w:val="22"/>
              </w:rPr>
              <w:t xml:space="preserve">  </w:t>
            </w:r>
            <w:r>
              <w:rPr>
                <w:rFonts w:hint="eastAsia" w:cs="Arial"/>
                <w:color w:val="000000"/>
                <w:sz w:val="22"/>
                <w:szCs w:val="22"/>
              </w:rPr>
              <w:t>公务员医疗补助缴费</w:t>
            </w:r>
          </w:p>
        </w:tc>
        <w:tc>
          <w:tcPr>
            <w:tcW w:w="1417" w:type="dxa"/>
            <w:tcBorders>
              <w:top w:val="nil"/>
              <w:left w:val="nil"/>
              <w:bottom w:val="single" w:color="auto" w:sz="4" w:space="0"/>
              <w:right w:val="single" w:color="auto" w:sz="4" w:space="0"/>
            </w:tcBorders>
            <w:vAlign w:val="bottom"/>
          </w:tcPr>
          <w:p>
            <w:pPr>
              <w:spacing w:before="100" w:beforeAutospacing="1" w:after="100" w:afterAutospacing="1"/>
              <w:ind w:right="200"/>
              <w:jc w:val="right"/>
              <w:rPr>
                <w:rFonts w:ascii="仿宋" w:hAnsi="仿宋" w:eastAsia="仿宋"/>
                <w:sz w:val="20"/>
                <w:szCs w:val="20"/>
              </w:rPr>
            </w:pPr>
            <w:r>
              <w:rPr>
                <w:rFonts w:hint="eastAsia" w:ascii="仿宋" w:hAnsi="仿宋" w:eastAsia="仿宋" w:cs="仿宋_GB2312"/>
                <w:color w:val="333333"/>
                <w:sz w:val="20"/>
                <w:szCs w:val="20"/>
              </w:rPr>
              <w:t>97.70</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30209</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物业管理费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383.08</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31010</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安置补助</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1544"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30112</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其他社会保障缴费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ind w:right="200"/>
              <w:jc w:val="center"/>
              <w:rPr>
                <w:rFonts w:ascii="仿宋" w:hAnsi="仿宋" w:eastAsia="仿宋"/>
                <w:sz w:val="20"/>
                <w:szCs w:val="20"/>
              </w:rPr>
            </w:pPr>
            <w:r>
              <w:rPr>
                <w:rFonts w:hint="eastAsia" w:ascii="仿宋" w:hAnsi="仿宋" w:eastAsia="仿宋" w:cs="仿宋_GB2312"/>
                <w:color w:val="333333"/>
                <w:sz w:val="20"/>
                <w:szCs w:val="20"/>
              </w:rPr>
              <w:t>3.10</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30211</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差旅费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68.78</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31011</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地上附着物和青苗补偿</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30113</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住房公积金</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Arial"/>
                <w:color w:val="000000"/>
                <w:sz w:val="20"/>
                <w:szCs w:val="20"/>
              </w:rPr>
            </w:pPr>
            <w:r>
              <w:rPr>
                <w:rFonts w:hint="eastAsia" w:ascii="仿宋" w:hAnsi="仿宋" w:eastAsia="仿宋" w:cs="仿宋_GB2312"/>
                <w:color w:val="333333"/>
                <w:sz w:val="20"/>
                <w:szCs w:val="20"/>
              </w:rPr>
              <w:t>698.12</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30212</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因公出国(境)费用 </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17.75</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31012</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拆迁补偿</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30114</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医疗费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30213</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维修(护)费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116.58</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31013</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公务用车购置</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30199</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其他工资福利支出</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1,038.16</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30214</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租赁费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0.71</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31019</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其他交通工具购置</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对个人和家庭的补助</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516.85</w:t>
            </w:r>
            <w:r>
              <w:rPr>
                <w:rFonts w:hint="eastAsia" w:ascii="仿宋" w:hAnsi="仿宋" w:eastAsia="仿宋" w:cs="Arial"/>
                <w:color w:val="000000"/>
                <w:sz w:val="20"/>
                <w:szCs w:val="20"/>
              </w:rPr>
              <w:t>　</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30215</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会议费</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0.21</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31021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文物和陈列品购置</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30301</w:t>
            </w:r>
          </w:p>
        </w:tc>
        <w:tc>
          <w:tcPr>
            <w:tcW w:w="1418"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离休费</w:t>
            </w:r>
          </w:p>
        </w:tc>
        <w:tc>
          <w:tcPr>
            <w:tcW w:w="141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105.97</w:t>
            </w:r>
            <w:r>
              <w:rPr>
                <w:rFonts w:hint="eastAsia" w:ascii="仿宋" w:hAnsi="仿宋" w:eastAsia="仿宋" w:cs="Arial"/>
                <w:color w:val="000000"/>
                <w:sz w:val="20"/>
                <w:szCs w:val="20"/>
              </w:rPr>
              <w:t>　</w:t>
            </w:r>
          </w:p>
        </w:tc>
        <w:tc>
          <w:tcPr>
            <w:tcW w:w="709"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30216</w:t>
            </w:r>
          </w:p>
        </w:tc>
        <w:tc>
          <w:tcPr>
            <w:tcW w:w="1134"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培训费</w:t>
            </w:r>
          </w:p>
        </w:tc>
        <w:tc>
          <w:tcPr>
            <w:tcW w:w="113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47.90</w:t>
            </w:r>
          </w:p>
        </w:tc>
        <w:tc>
          <w:tcPr>
            <w:tcW w:w="567"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31022</w:t>
            </w:r>
          </w:p>
        </w:tc>
        <w:tc>
          <w:tcPr>
            <w:tcW w:w="992"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无形资产购置</w:t>
            </w:r>
          </w:p>
        </w:tc>
        <w:tc>
          <w:tcPr>
            <w:tcW w:w="1134"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30302</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退休费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30217</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公务接待费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19.01</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31099</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其他资本性支出</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30303</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退职(役)费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30218</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专用材料费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11.04</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312</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对企业补助</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30304</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抚恤金</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30224</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被装购置费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5.59</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31201</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资本金注入</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391"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30305</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生活补助</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6.61</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30225</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专用燃料费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31203</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政府投资基金股权投资</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30306</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救济费</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30226</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劳务费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22.24</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31204</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费用补贴</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30307</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医疗费补助</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30.00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30227</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委托业务费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31205</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利息补贴</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30308</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助学金</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30228</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工会经费</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196.23</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31299</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其他对企业补助</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30309</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奖励金</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30229</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福利费</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4.25</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399</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其他支出</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391"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30310</w:t>
            </w:r>
          </w:p>
        </w:tc>
        <w:tc>
          <w:tcPr>
            <w:tcW w:w="1418"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个人农业生产补贴</w:t>
            </w:r>
          </w:p>
        </w:tc>
        <w:tc>
          <w:tcPr>
            <w:tcW w:w="141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709"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30231</w:t>
            </w:r>
          </w:p>
        </w:tc>
        <w:tc>
          <w:tcPr>
            <w:tcW w:w="1134"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公务用车运行维护费</w:t>
            </w:r>
          </w:p>
        </w:tc>
        <w:tc>
          <w:tcPr>
            <w:tcW w:w="113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40.87</w:t>
            </w:r>
          </w:p>
        </w:tc>
        <w:tc>
          <w:tcPr>
            <w:tcW w:w="567"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39906</w:t>
            </w:r>
          </w:p>
        </w:tc>
        <w:tc>
          <w:tcPr>
            <w:tcW w:w="992"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赠与</w:t>
            </w:r>
          </w:p>
        </w:tc>
        <w:tc>
          <w:tcPr>
            <w:tcW w:w="1134"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391"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30399</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其他对个人和家庭的补助支出</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374.28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30239</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其他交通费用</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209.11</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39907</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国家赔偿费用支出</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587"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30240</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税金及附加费用</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39908</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对民间非营利组织和群众性自治组织补贴</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343"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30299</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其他商品和服务支出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397.27</w:t>
            </w:r>
          </w:p>
        </w:tc>
        <w:tc>
          <w:tcPr>
            <w:tcW w:w="567"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39999</w:t>
            </w:r>
          </w:p>
        </w:tc>
        <w:tc>
          <w:tcPr>
            <w:tcW w:w="992"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xml:space="preserve">  其他支出</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307</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债务利息支出</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992"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p>
        </w:tc>
      </w:tr>
      <w:tr>
        <w:trPr>
          <w:trHeight w:val="220" w:hRule="atLeast"/>
        </w:trPr>
        <w:tc>
          <w:tcPr>
            <w:tcW w:w="724" w:type="dxa"/>
            <w:tcBorders>
              <w:top w:val="nil"/>
              <w:left w:val="single" w:color="auto" w:sz="4" w:space="0"/>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8" w:type="dxa"/>
            <w:tcBorders>
              <w:top w:val="nil"/>
              <w:left w:val="nil"/>
              <w:bottom w:val="single" w:color="auto" w:sz="4" w:space="0"/>
              <w:right w:val="single" w:color="auto" w:sz="4" w:space="0"/>
            </w:tcBorders>
            <w:vAlign w:val="center"/>
          </w:tcPr>
          <w:p>
            <w:pPr>
              <w:spacing w:before="100" w:beforeAutospacing="1" w:after="100" w:afterAutospacing="1"/>
              <w:rPr>
                <w:rFonts w:cs="Arial"/>
                <w:sz w:val="22"/>
                <w:szCs w:val="22"/>
              </w:rPr>
            </w:pPr>
            <w:r>
              <w:rPr>
                <w:rFonts w:hint="eastAsia" w:cs="Arial"/>
                <w:sz w:val="22"/>
                <w:szCs w:val="22"/>
              </w:rPr>
              <w:t>　</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30701</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国内债务付息</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992"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p>
        </w:tc>
      </w:tr>
      <w:tr>
        <w:trPr>
          <w:trHeight w:val="220" w:hRule="atLeast"/>
        </w:trPr>
        <w:tc>
          <w:tcPr>
            <w:tcW w:w="724" w:type="dxa"/>
            <w:tcBorders>
              <w:top w:val="nil"/>
              <w:left w:val="single" w:color="auto" w:sz="4" w:space="0"/>
              <w:bottom w:val="single" w:color="auto" w:sz="4" w:space="0"/>
              <w:right w:val="single" w:color="auto" w:sz="4" w:space="0"/>
            </w:tcBorders>
            <w:vAlign w:val="bottom"/>
          </w:tcPr>
          <w:p>
            <w:pPr>
              <w:spacing w:before="100" w:beforeAutospacing="1" w:after="100" w:afterAutospacing="1"/>
              <w:rPr>
                <w:sz w:val="22"/>
                <w:szCs w:val="22"/>
              </w:rPr>
            </w:pPr>
            <w:r>
              <w:rPr>
                <w:rFonts w:hint="eastAsia" w:ascii="Arial" w:hAnsi="Arial" w:cs="Arial"/>
                <w:color w:val="000000"/>
                <w:sz w:val="22"/>
                <w:szCs w:val="22"/>
              </w:rPr>
              <w:t>　</w:t>
            </w:r>
          </w:p>
        </w:tc>
        <w:tc>
          <w:tcPr>
            <w:tcW w:w="1418" w:type="dxa"/>
            <w:tcBorders>
              <w:top w:val="nil"/>
              <w:left w:val="nil"/>
              <w:bottom w:val="single" w:color="auto" w:sz="4" w:space="0"/>
              <w:right w:val="single" w:color="auto" w:sz="4" w:space="0"/>
            </w:tcBorders>
            <w:vAlign w:val="bottom"/>
          </w:tcPr>
          <w:p>
            <w:pPr>
              <w:spacing w:before="100" w:beforeAutospacing="1" w:after="100" w:afterAutospacing="1"/>
              <w:rPr>
                <w:sz w:val="22"/>
                <w:szCs w:val="22"/>
              </w:rPr>
            </w:pPr>
            <w:r>
              <w:rPr>
                <w:rFonts w:hint="eastAsia" w:ascii="Arial" w:hAnsi="Arial" w:cs="Arial"/>
                <w:color w:val="000000"/>
                <w:sz w:val="22"/>
                <w:szCs w:val="22"/>
              </w:rPr>
              <w:t>　</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30702</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国外债务付息</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992"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p>
        </w:tc>
      </w:tr>
      <w:tr>
        <w:trPr>
          <w:trHeight w:val="208" w:hRule="atLeast"/>
        </w:trPr>
        <w:tc>
          <w:tcPr>
            <w:tcW w:w="724" w:type="dxa"/>
            <w:tcBorders>
              <w:top w:val="nil"/>
              <w:left w:val="single" w:color="auto" w:sz="4" w:space="0"/>
              <w:bottom w:val="single" w:color="auto" w:sz="4" w:space="0"/>
              <w:right w:val="single" w:color="auto" w:sz="4" w:space="0"/>
            </w:tcBorders>
            <w:vAlign w:val="bottom"/>
          </w:tcPr>
          <w:p>
            <w:pPr>
              <w:spacing w:before="100" w:beforeAutospacing="1" w:after="100" w:afterAutospacing="1"/>
              <w:rPr>
                <w:sz w:val="22"/>
                <w:szCs w:val="22"/>
              </w:rPr>
            </w:pPr>
            <w:r>
              <w:rPr>
                <w:rFonts w:hint="eastAsia" w:ascii="Arial" w:hAnsi="Arial" w:cs="Arial"/>
                <w:color w:val="000000"/>
                <w:sz w:val="22"/>
                <w:szCs w:val="22"/>
              </w:rPr>
              <w:t>　</w:t>
            </w:r>
          </w:p>
        </w:tc>
        <w:tc>
          <w:tcPr>
            <w:tcW w:w="1418" w:type="dxa"/>
            <w:tcBorders>
              <w:top w:val="nil"/>
              <w:left w:val="nil"/>
              <w:bottom w:val="single" w:color="auto" w:sz="4" w:space="0"/>
              <w:right w:val="single" w:color="auto" w:sz="4" w:space="0"/>
            </w:tcBorders>
            <w:vAlign w:val="bottom"/>
          </w:tcPr>
          <w:p>
            <w:pPr>
              <w:spacing w:before="100" w:beforeAutospacing="1" w:after="100" w:afterAutospacing="1"/>
              <w:rPr>
                <w:sz w:val="22"/>
                <w:szCs w:val="22"/>
              </w:rPr>
            </w:pPr>
            <w:r>
              <w:rPr>
                <w:rFonts w:hint="eastAsia" w:ascii="Arial" w:hAnsi="Arial" w:cs="Arial"/>
                <w:color w:val="000000"/>
                <w:sz w:val="22"/>
                <w:szCs w:val="22"/>
              </w:rPr>
              <w:t>　</w:t>
            </w:r>
          </w:p>
        </w:tc>
        <w:tc>
          <w:tcPr>
            <w:tcW w:w="1417" w:type="dxa"/>
            <w:tcBorders>
              <w:top w:val="nil"/>
              <w:left w:val="nil"/>
              <w:bottom w:val="single" w:color="auto" w:sz="4" w:space="0"/>
              <w:right w:val="single" w:color="auto" w:sz="4" w:space="0"/>
            </w:tcBorders>
            <w:vAlign w:val="bottom"/>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30703</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宋体" w:hAnsi="宋体" w:eastAsia="宋体" w:cs="Arial"/>
                <w:sz w:val="22"/>
                <w:szCs w:val="22"/>
              </w:rPr>
              <w:t xml:space="preserve">  国内债务发行费用</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992"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p>
        </w:tc>
      </w:tr>
      <w:tr>
        <w:trPr>
          <w:trHeight w:val="208" w:hRule="atLeast"/>
        </w:trPr>
        <w:tc>
          <w:tcPr>
            <w:tcW w:w="724" w:type="dxa"/>
            <w:tcBorders>
              <w:top w:val="nil"/>
              <w:left w:val="single" w:color="auto" w:sz="4" w:space="0"/>
              <w:bottom w:val="single" w:color="auto" w:sz="4" w:space="0"/>
              <w:right w:val="single" w:color="auto" w:sz="4" w:space="0"/>
            </w:tcBorders>
            <w:vAlign w:val="bottom"/>
          </w:tcPr>
          <w:p>
            <w:pPr>
              <w:spacing w:before="100" w:beforeAutospacing="1" w:after="100" w:afterAutospacing="1"/>
              <w:rPr>
                <w:sz w:val="22"/>
                <w:szCs w:val="22"/>
              </w:rPr>
            </w:pPr>
            <w:r>
              <w:rPr>
                <w:rFonts w:hint="eastAsia" w:ascii="Arial" w:hAnsi="Arial" w:cs="Arial"/>
                <w:color w:val="000000"/>
                <w:sz w:val="22"/>
                <w:szCs w:val="22"/>
              </w:rPr>
              <w:t>　</w:t>
            </w:r>
          </w:p>
        </w:tc>
        <w:tc>
          <w:tcPr>
            <w:tcW w:w="1418" w:type="dxa"/>
            <w:tcBorders>
              <w:top w:val="nil"/>
              <w:left w:val="nil"/>
              <w:bottom w:val="single" w:color="auto" w:sz="4" w:space="0"/>
              <w:right w:val="single" w:color="auto" w:sz="4" w:space="0"/>
            </w:tcBorders>
            <w:vAlign w:val="bottom"/>
          </w:tcPr>
          <w:p>
            <w:pPr>
              <w:spacing w:before="100" w:beforeAutospacing="1" w:after="100" w:afterAutospacing="1"/>
              <w:rPr>
                <w:sz w:val="22"/>
                <w:szCs w:val="22"/>
              </w:rPr>
            </w:pPr>
            <w:r>
              <w:rPr>
                <w:rFonts w:hint="eastAsia" w:ascii="Arial" w:hAnsi="Arial" w:cs="Arial"/>
                <w:color w:val="000000"/>
                <w:sz w:val="22"/>
                <w:szCs w:val="22"/>
              </w:rPr>
              <w:t>　</w:t>
            </w:r>
          </w:p>
        </w:tc>
        <w:tc>
          <w:tcPr>
            <w:tcW w:w="1417" w:type="dxa"/>
            <w:tcBorders>
              <w:top w:val="nil"/>
              <w:left w:val="nil"/>
              <w:bottom w:val="single" w:color="auto" w:sz="4" w:space="0"/>
              <w:right w:val="single" w:color="auto" w:sz="4" w:space="0"/>
            </w:tcBorders>
            <w:vAlign w:val="bottom"/>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　</w:t>
            </w:r>
          </w:p>
        </w:tc>
        <w:tc>
          <w:tcPr>
            <w:tcW w:w="709" w:type="dxa"/>
            <w:tcBorders>
              <w:top w:val="nil"/>
              <w:left w:val="nil"/>
              <w:bottom w:val="single" w:color="auto" w:sz="4" w:space="0"/>
              <w:right w:val="single" w:color="auto" w:sz="4" w:space="0"/>
            </w:tcBorders>
            <w:vAlign w:val="center"/>
          </w:tcPr>
          <w:p>
            <w:pPr>
              <w:spacing w:before="100" w:beforeAutospacing="1" w:after="100" w:afterAutospacing="1"/>
              <w:rPr>
                <w:rFonts w:ascii="仿宋" w:hAnsi="仿宋" w:eastAsia="仿宋" w:cs="Arial"/>
                <w:sz w:val="20"/>
                <w:szCs w:val="20"/>
              </w:rPr>
            </w:pPr>
            <w:r>
              <w:rPr>
                <w:rFonts w:hint="eastAsia" w:ascii="仿宋" w:hAnsi="仿宋" w:eastAsia="仿宋" w:cs="Arial"/>
                <w:sz w:val="20"/>
                <w:szCs w:val="20"/>
              </w:rPr>
              <w:t>30704</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rPr>
                <w:rFonts w:ascii="宋体" w:hAnsi="宋体" w:eastAsia="宋体" w:cs="Arial"/>
                <w:sz w:val="22"/>
                <w:szCs w:val="22"/>
              </w:rPr>
            </w:pPr>
            <w:r>
              <w:rPr>
                <w:rFonts w:hint="eastAsia" w:ascii="仿宋" w:hAnsi="仿宋" w:eastAsia="仿宋" w:cs="Arial"/>
                <w:sz w:val="22"/>
                <w:szCs w:val="22"/>
              </w:rPr>
              <w:t xml:space="preserve"> </w:t>
            </w:r>
            <w:r>
              <w:rPr>
                <w:rFonts w:hint="eastAsia" w:ascii="宋体" w:hAnsi="宋体" w:eastAsia="宋体" w:cs="Arial"/>
                <w:sz w:val="22"/>
                <w:szCs w:val="22"/>
              </w:rPr>
              <w:t xml:space="preserve"> 国外债务发行费用</w:t>
            </w:r>
          </w:p>
        </w:tc>
        <w:tc>
          <w:tcPr>
            <w:tcW w:w="1134" w:type="dxa"/>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0.00</w:t>
            </w:r>
          </w:p>
        </w:tc>
        <w:tc>
          <w:tcPr>
            <w:tcW w:w="567"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992" w:type="dxa"/>
            <w:tcBorders>
              <w:top w:val="nil"/>
              <w:left w:val="nil"/>
              <w:bottom w:val="single" w:color="auto" w:sz="4" w:space="0"/>
              <w:right w:val="single" w:color="auto" w:sz="4" w:space="0"/>
            </w:tcBorders>
            <w:vAlign w:val="bottom"/>
          </w:tcPr>
          <w:p>
            <w:pPr>
              <w:spacing w:before="100" w:beforeAutospacing="1" w:after="100" w:afterAutospacing="1"/>
              <w:rPr>
                <w:rFonts w:ascii="仿宋" w:hAnsi="仿宋" w:eastAsia="仿宋"/>
                <w:sz w:val="20"/>
                <w:szCs w:val="20"/>
              </w:rPr>
            </w:pPr>
            <w:r>
              <w:rPr>
                <w:rFonts w:hint="eastAsia" w:ascii="仿宋" w:hAnsi="仿宋" w:eastAsia="仿宋" w:cs="Arial"/>
                <w:color w:val="000000"/>
                <w:sz w:val="20"/>
                <w:szCs w:val="20"/>
              </w:rPr>
              <w:t>　</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p>
        </w:tc>
      </w:tr>
      <w:tr>
        <w:trPr>
          <w:trHeight w:val="220" w:hRule="atLeast"/>
        </w:trPr>
        <w:tc>
          <w:tcPr>
            <w:tcW w:w="214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人员经费合计</w:t>
            </w:r>
          </w:p>
        </w:tc>
        <w:tc>
          <w:tcPr>
            <w:tcW w:w="1417"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仿宋_GB2312"/>
                <w:color w:val="333333"/>
                <w:sz w:val="20"/>
                <w:szCs w:val="20"/>
              </w:rPr>
            </w:pPr>
            <w:r>
              <w:rPr>
                <w:rFonts w:hint="eastAsia" w:ascii="仿宋" w:hAnsi="仿宋" w:eastAsia="仿宋" w:cs="仿宋_GB2312"/>
                <w:color w:val="333333"/>
                <w:sz w:val="20"/>
                <w:szCs w:val="20"/>
              </w:rPr>
              <w:t>12,614.26</w:t>
            </w:r>
          </w:p>
        </w:tc>
        <w:tc>
          <w:tcPr>
            <w:tcW w:w="4536" w:type="dxa"/>
            <w:gridSpan w:val="5"/>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公用经费合计</w:t>
            </w:r>
          </w:p>
        </w:tc>
        <w:tc>
          <w:tcPr>
            <w:tcW w:w="1134" w:type="dxa"/>
            <w:gridSpan w:val="2"/>
            <w:tcBorders>
              <w:top w:val="nil"/>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sz w:val="20"/>
                <w:szCs w:val="20"/>
              </w:rPr>
            </w:pPr>
            <w:r>
              <w:rPr>
                <w:rFonts w:hint="eastAsia" w:ascii="仿宋" w:hAnsi="仿宋" w:eastAsia="仿宋" w:cs="仿宋_GB2312"/>
                <w:color w:val="333333"/>
                <w:sz w:val="20"/>
                <w:szCs w:val="20"/>
              </w:rPr>
              <w:t>2,010.29</w:t>
            </w:r>
          </w:p>
        </w:tc>
      </w:tr>
    </w:tbl>
    <w:p>
      <w:pPr>
        <w:shd w:val="clear" w:color="auto" w:fill="FFFFFF"/>
        <w:spacing w:before="100" w:beforeAutospacing="1" w:after="100" w:afterAutospacing="1"/>
        <w:rPr>
          <w:rFonts w:ascii="黑体" w:hAnsi="仿宋" w:eastAsia="黑体"/>
          <w:sz w:val="22"/>
          <w:szCs w:val="22"/>
        </w:rPr>
      </w:pPr>
      <w:r>
        <w:rPr>
          <w:sz w:val="22"/>
          <w:szCs w:val="22"/>
        </w:rPr>
        <w:t>注：本表金额转换为万元时，因四舍五入可能存在尾数差异。</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 xml:space="preserve">政府性基金预算财政拨款收入支出决算表 </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6"/>
        <w:gridCol w:w="456"/>
        <w:gridCol w:w="456"/>
        <w:gridCol w:w="65"/>
        <w:gridCol w:w="1215"/>
        <w:gridCol w:w="1000"/>
        <w:gridCol w:w="1020"/>
        <w:gridCol w:w="1020"/>
        <w:gridCol w:w="1160"/>
        <w:gridCol w:w="1150"/>
        <w:gridCol w:w="1231"/>
      </w:tblGrid>
      <w:tr>
        <w:trPr>
          <w:trHeight w:val="735" w:hRule="atLeast"/>
        </w:trPr>
        <w:tc>
          <w:tcPr>
            <w:tcW w:w="9229" w:type="dxa"/>
            <w:gridSpan w:val="11"/>
            <w:vAlign w:val="center"/>
          </w:tcPr>
          <w:p>
            <w:pPr>
              <w:spacing w:before="100" w:beforeAutospacing="1" w:after="100" w:afterAutospacing="1"/>
              <w:jc w:val="center"/>
              <w:rPr>
                <w:rFonts w:cs="Arial"/>
                <w:color w:val="000000"/>
                <w:sz w:val="44"/>
                <w:szCs w:val="44"/>
              </w:rPr>
            </w:pPr>
            <w:r>
              <w:rPr>
                <w:rFonts w:hint="eastAsia" w:ascii="黑体" w:hAnsi="Arial" w:eastAsia="黑体" w:cs="Arial"/>
                <w:color w:val="000000"/>
                <w:sz w:val="36"/>
                <w:szCs w:val="36"/>
              </w:rPr>
              <w:t>政府性基金预算财政拨款收入支出决算表</w:t>
            </w:r>
          </w:p>
        </w:tc>
      </w:tr>
      <w:tr>
        <w:trPr>
          <w:trHeight w:val="300" w:hRule="atLeast"/>
        </w:trPr>
        <w:tc>
          <w:tcPr>
            <w:tcW w:w="456" w:type="dxa"/>
            <w:vAlign w:val="bottom"/>
          </w:tcPr>
          <w:p>
            <w:r>
              <w:t> </w:t>
            </w:r>
          </w:p>
        </w:tc>
        <w:tc>
          <w:tcPr>
            <w:tcW w:w="456" w:type="dxa"/>
            <w:vAlign w:val="bottom"/>
          </w:tcPr>
          <w:p>
            <w:r>
              <w:t> </w:t>
            </w:r>
          </w:p>
        </w:tc>
        <w:tc>
          <w:tcPr>
            <w:tcW w:w="456" w:type="dxa"/>
            <w:vAlign w:val="bottom"/>
          </w:tcPr>
          <w:p>
            <w:r>
              <w:t> </w:t>
            </w:r>
          </w:p>
        </w:tc>
        <w:tc>
          <w:tcPr>
            <w:tcW w:w="1280" w:type="dxa"/>
            <w:gridSpan w:val="2"/>
            <w:vAlign w:val="bottom"/>
          </w:tcPr>
          <w:p>
            <w:r>
              <w:t> </w:t>
            </w:r>
          </w:p>
        </w:tc>
        <w:tc>
          <w:tcPr>
            <w:tcW w:w="1000" w:type="dxa"/>
            <w:vAlign w:val="bottom"/>
          </w:tcPr>
          <w:p>
            <w:r>
              <w:t> </w:t>
            </w:r>
          </w:p>
        </w:tc>
        <w:tc>
          <w:tcPr>
            <w:tcW w:w="1020" w:type="dxa"/>
            <w:vAlign w:val="bottom"/>
          </w:tcPr>
          <w:p>
            <w:r>
              <w:t> </w:t>
            </w:r>
          </w:p>
        </w:tc>
        <w:tc>
          <w:tcPr>
            <w:tcW w:w="1020" w:type="dxa"/>
            <w:vAlign w:val="bottom"/>
          </w:tcPr>
          <w:p>
            <w:r>
              <w:t> </w:t>
            </w:r>
          </w:p>
        </w:tc>
        <w:tc>
          <w:tcPr>
            <w:tcW w:w="1160" w:type="dxa"/>
            <w:vAlign w:val="bottom"/>
          </w:tcPr>
          <w:p>
            <w:r>
              <w:t> </w:t>
            </w:r>
          </w:p>
        </w:tc>
        <w:tc>
          <w:tcPr>
            <w:tcW w:w="1150" w:type="dxa"/>
            <w:vAlign w:val="bottom"/>
          </w:tcPr>
          <w:p>
            <w:r>
              <w:t> </w:t>
            </w:r>
          </w:p>
        </w:tc>
        <w:tc>
          <w:tcPr>
            <w:tcW w:w="1231" w:type="dxa"/>
            <w:vAlign w:val="bottom"/>
          </w:tcPr>
          <w:p>
            <w:r>
              <w:t> </w:t>
            </w:r>
          </w:p>
        </w:tc>
      </w:tr>
      <w:tr>
        <w:trPr>
          <w:trHeight w:val="315" w:hRule="atLeast"/>
        </w:trPr>
        <w:tc>
          <w:tcPr>
            <w:tcW w:w="3648" w:type="dxa"/>
            <w:gridSpan w:val="6"/>
            <w:vAlign w:val="bottom"/>
          </w:tcPr>
          <w:p>
            <w:pPr>
              <w:spacing w:before="100" w:beforeAutospacing="1" w:after="100" w:afterAutospacing="1"/>
              <w:rPr>
                <w:rFonts w:cs="Arial"/>
                <w:color w:val="000000"/>
              </w:rPr>
            </w:pPr>
            <w:r>
              <w:rPr>
                <w:rFonts w:hint="eastAsia" w:cs="Arial"/>
                <w:color w:val="000000"/>
              </w:rPr>
              <w:t>编制单位：厦门市中级人民法院</w:t>
            </w:r>
          </w:p>
        </w:tc>
        <w:tc>
          <w:tcPr>
            <w:tcW w:w="1020" w:type="dxa"/>
            <w:vAlign w:val="bottom"/>
          </w:tcPr>
          <w:p>
            <w:r>
              <w:t> </w:t>
            </w:r>
          </w:p>
        </w:tc>
        <w:tc>
          <w:tcPr>
            <w:tcW w:w="1020" w:type="dxa"/>
            <w:vAlign w:val="bottom"/>
          </w:tcPr>
          <w:p>
            <w:r>
              <w:t> </w:t>
            </w:r>
          </w:p>
        </w:tc>
        <w:tc>
          <w:tcPr>
            <w:tcW w:w="1160" w:type="dxa"/>
            <w:vAlign w:val="bottom"/>
          </w:tcPr>
          <w:p>
            <w:r>
              <w:t> </w:t>
            </w:r>
          </w:p>
        </w:tc>
        <w:tc>
          <w:tcPr>
            <w:tcW w:w="2381" w:type="dxa"/>
            <w:gridSpan w:val="2"/>
            <w:vAlign w:val="bottom"/>
          </w:tcPr>
          <w:p>
            <w:pPr>
              <w:spacing w:before="100" w:beforeAutospacing="1" w:after="100" w:afterAutospacing="1"/>
              <w:jc w:val="right"/>
              <w:rPr>
                <w:rFonts w:cs="Arial"/>
                <w:color w:val="000000"/>
              </w:rPr>
            </w:pPr>
            <w:r>
              <w:rPr>
                <w:rFonts w:hint="eastAsia" w:cs="Arial"/>
                <w:color w:val="000000"/>
              </w:rPr>
              <w:t>金额单位：万元</w:t>
            </w:r>
          </w:p>
        </w:tc>
      </w:tr>
      <w:tr>
        <w:trPr>
          <w:trHeight w:val="428" w:hRule="atLeast"/>
        </w:trPr>
        <w:tc>
          <w:tcPr>
            <w:tcW w:w="2648" w:type="dxa"/>
            <w:gridSpan w:val="5"/>
            <w:tcBorders>
              <w:top w:val="single" w:color="000000" w:sz="8"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w:t>
            </w:r>
          </w:p>
        </w:tc>
        <w:tc>
          <w:tcPr>
            <w:tcW w:w="1000" w:type="dxa"/>
            <w:vMerge w:val="restart"/>
            <w:tcBorders>
              <w:top w:val="single" w:color="000000" w:sz="8" w:space="0"/>
              <w:left w:val="single" w:color="000000" w:sz="4"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年初结转和结余</w:t>
            </w:r>
          </w:p>
        </w:tc>
        <w:tc>
          <w:tcPr>
            <w:tcW w:w="1020" w:type="dxa"/>
            <w:vMerge w:val="restart"/>
            <w:tcBorders>
              <w:top w:val="single" w:color="000000" w:sz="8" w:space="0"/>
              <w:left w:val="single" w:color="000000" w:sz="4"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本年收入</w:t>
            </w:r>
          </w:p>
        </w:tc>
        <w:tc>
          <w:tcPr>
            <w:tcW w:w="3330" w:type="dxa"/>
            <w:gridSpan w:val="3"/>
            <w:tcBorders>
              <w:top w:val="single" w:color="000000" w:sz="8" w:space="0"/>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本年支出</w:t>
            </w:r>
          </w:p>
        </w:tc>
        <w:tc>
          <w:tcPr>
            <w:tcW w:w="1231" w:type="dxa"/>
            <w:vMerge w:val="restart"/>
            <w:tcBorders>
              <w:top w:val="single" w:color="000000" w:sz="8" w:space="0"/>
              <w:left w:val="single" w:color="000000" w:sz="4"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年末结转和结余</w:t>
            </w:r>
          </w:p>
        </w:tc>
      </w:tr>
      <w:tr>
        <w:trPr>
          <w:trHeight w:val="312" w:hRule="atLeast"/>
        </w:trPr>
        <w:tc>
          <w:tcPr>
            <w:tcW w:w="1433" w:type="dxa"/>
            <w:gridSpan w:val="4"/>
            <w:vMerge w:val="restart"/>
            <w:tcBorders>
              <w:top w:val="single" w:color="000000" w:sz="4"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支出功能分类科目编码</w:t>
            </w:r>
          </w:p>
        </w:tc>
        <w:tc>
          <w:tcPr>
            <w:tcW w:w="1215" w:type="dxa"/>
            <w:vMerge w:val="restart"/>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rPr>
                <w:rFonts w:cs="Arial"/>
                <w:color w:val="000000"/>
                <w:sz w:val="22"/>
                <w:szCs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rPr>
                <w:rFonts w:cs="Arial"/>
                <w:color w:val="000000"/>
                <w:sz w:val="22"/>
                <w:szCs w:val="22"/>
              </w:rPr>
            </w:pPr>
          </w:p>
        </w:tc>
        <w:tc>
          <w:tcPr>
            <w:tcW w:w="1020" w:type="dxa"/>
            <w:vMerge w:val="restart"/>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小计</w:t>
            </w:r>
          </w:p>
        </w:tc>
        <w:tc>
          <w:tcPr>
            <w:tcW w:w="1160" w:type="dxa"/>
            <w:vMerge w:val="restart"/>
            <w:tcBorders>
              <w:top w:val="nil"/>
              <w:left w:val="single" w:color="000000" w:sz="4" w:space="0"/>
              <w:bottom w:val="nil"/>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基本支出</w:t>
            </w:r>
          </w:p>
        </w:tc>
        <w:tc>
          <w:tcPr>
            <w:tcW w:w="1150" w:type="dxa"/>
            <w:vMerge w:val="restart"/>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项目支出</w:t>
            </w:r>
          </w:p>
        </w:tc>
        <w:tc>
          <w:tcPr>
            <w:tcW w:w="1231" w:type="dxa"/>
            <w:vMerge w:val="continue"/>
            <w:tcBorders>
              <w:top w:val="single" w:color="000000" w:sz="8" w:space="0"/>
              <w:left w:val="single" w:color="000000" w:sz="4" w:space="0"/>
              <w:bottom w:val="single" w:color="000000" w:sz="4" w:space="0"/>
              <w:right w:val="single" w:color="000000" w:sz="4" w:space="0"/>
            </w:tcBorders>
            <w:vAlign w:val="center"/>
          </w:tcPr>
          <w:p>
            <w:pPr>
              <w:rPr>
                <w:rFonts w:cs="Arial"/>
                <w:color w:val="000000"/>
                <w:sz w:val="22"/>
                <w:szCs w:val="22"/>
              </w:rPr>
            </w:pPr>
          </w:p>
        </w:tc>
      </w:tr>
      <w:tr>
        <w:trPr>
          <w:trHeight w:val="480" w:hRule="atLeast"/>
        </w:trPr>
        <w:tc>
          <w:tcPr>
            <w:tcW w:w="1433" w:type="dxa"/>
            <w:gridSpan w:val="4"/>
            <w:vMerge w:val="continue"/>
            <w:tcBorders>
              <w:top w:val="single" w:color="000000" w:sz="4" w:space="0"/>
              <w:left w:val="single" w:color="000000" w:sz="8" w:space="0"/>
              <w:bottom w:val="single" w:color="000000" w:sz="4" w:space="0"/>
              <w:right w:val="single" w:color="000000" w:sz="4" w:space="0"/>
            </w:tcBorders>
            <w:vAlign w:val="center"/>
          </w:tcPr>
          <w:p>
            <w:pPr>
              <w:rPr>
                <w:rFonts w:cs="Arial"/>
                <w:color w:val="000000"/>
                <w:sz w:val="22"/>
                <w:szCs w:val="22"/>
              </w:rPr>
            </w:pPr>
          </w:p>
        </w:tc>
        <w:tc>
          <w:tcPr>
            <w:tcW w:w="1215" w:type="dxa"/>
            <w:vMerge w:val="continue"/>
            <w:tcBorders>
              <w:top w:val="nil"/>
              <w:left w:val="nil"/>
              <w:bottom w:val="single" w:color="000000" w:sz="4" w:space="0"/>
              <w:right w:val="single" w:color="000000" w:sz="4" w:space="0"/>
            </w:tcBorders>
            <w:vAlign w:val="center"/>
          </w:tcPr>
          <w:p>
            <w:pPr>
              <w:rPr>
                <w:rFonts w:cs="Arial"/>
                <w:color w:val="000000"/>
                <w:sz w:val="22"/>
                <w:szCs w:val="22"/>
              </w:rPr>
            </w:pP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rPr>
                <w:rFonts w:cs="Arial"/>
                <w:color w:val="000000"/>
                <w:sz w:val="22"/>
                <w:szCs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rPr>
                <w:rFonts w:cs="Arial"/>
                <w:color w:val="000000"/>
                <w:sz w:val="22"/>
                <w:szCs w:val="22"/>
              </w:rPr>
            </w:pPr>
          </w:p>
        </w:tc>
        <w:tc>
          <w:tcPr>
            <w:tcW w:w="1020" w:type="dxa"/>
            <w:vMerge w:val="continue"/>
            <w:tcBorders>
              <w:top w:val="nil"/>
              <w:left w:val="nil"/>
              <w:bottom w:val="single" w:color="000000" w:sz="4" w:space="0"/>
              <w:right w:val="single" w:color="000000" w:sz="4" w:space="0"/>
            </w:tcBorders>
            <w:vAlign w:val="center"/>
          </w:tcPr>
          <w:p>
            <w:pPr>
              <w:rPr>
                <w:rFonts w:cs="Arial"/>
                <w:color w:val="000000"/>
                <w:sz w:val="22"/>
                <w:szCs w:val="22"/>
              </w:rPr>
            </w:pPr>
          </w:p>
        </w:tc>
        <w:tc>
          <w:tcPr>
            <w:tcW w:w="1160" w:type="dxa"/>
            <w:vMerge w:val="continue"/>
            <w:tcBorders>
              <w:top w:val="nil"/>
              <w:left w:val="single" w:color="000000" w:sz="4" w:space="0"/>
              <w:bottom w:val="nil"/>
              <w:right w:val="single" w:color="000000" w:sz="4" w:space="0"/>
            </w:tcBorders>
            <w:vAlign w:val="center"/>
          </w:tcPr>
          <w:p>
            <w:pPr>
              <w:rPr>
                <w:rFonts w:cs="Arial"/>
                <w:color w:val="000000"/>
                <w:sz w:val="22"/>
                <w:szCs w:val="22"/>
              </w:rPr>
            </w:pPr>
          </w:p>
        </w:tc>
        <w:tc>
          <w:tcPr>
            <w:tcW w:w="1150" w:type="dxa"/>
            <w:vMerge w:val="continue"/>
            <w:tcBorders>
              <w:top w:val="nil"/>
              <w:left w:val="nil"/>
              <w:bottom w:val="single" w:color="000000" w:sz="4" w:space="0"/>
              <w:right w:val="single" w:color="000000" w:sz="4" w:space="0"/>
            </w:tcBorders>
            <w:vAlign w:val="center"/>
          </w:tcPr>
          <w:p>
            <w:pPr>
              <w:rPr>
                <w:rFonts w:cs="Arial"/>
                <w:color w:val="000000"/>
                <w:sz w:val="22"/>
                <w:szCs w:val="22"/>
              </w:rPr>
            </w:pPr>
          </w:p>
        </w:tc>
        <w:tc>
          <w:tcPr>
            <w:tcW w:w="1231" w:type="dxa"/>
            <w:vMerge w:val="continue"/>
            <w:tcBorders>
              <w:top w:val="single" w:color="000000" w:sz="8" w:space="0"/>
              <w:left w:val="single" w:color="000000" w:sz="4" w:space="0"/>
              <w:bottom w:val="single" w:color="000000" w:sz="4" w:space="0"/>
              <w:right w:val="single" w:color="000000" w:sz="4" w:space="0"/>
            </w:tcBorders>
            <w:vAlign w:val="center"/>
          </w:tcPr>
          <w:p>
            <w:pPr>
              <w:rPr>
                <w:rFonts w:cs="Arial"/>
                <w:color w:val="000000"/>
                <w:sz w:val="22"/>
                <w:szCs w:val="22"/>
              </w:rPr>
            </w:pPr>
          </w:p>
        </w:tc>
      </w:tr>
      <w:tr>
        <w:trPr>
          <w:trHeight w:val="570" w:hRule="atLeast"/>
        </w:trPr>
        <w:tc>
          <w:tcPr>
            <w:tcW w:w="456" w:type="dxa"/>
            <w:vMerge w:val="restart"/>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类</w:t>
            </w:r>
          </w:p>
        </w:tc>
        <w:tc>
          <w:tcPr>
            <w:tcW w:w="456" w:type="dxa"/>
            <w:vMerge w:val="restart"/>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款</w:t>
            </w:r>
          </w:p>
        </w:tc>
        <w:tc>
          <w:tcPr>
            <w:tcW w:w="521" w:type="dxa"/>
            <w:gridSpan w:val="2"/>
            <w:vMerge w:val="restart"/>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w:t>
            </w:r>
          </w:p>
        </w:tc>
        <w:tc>
          <w:tcPr>
            <w:tcW w:w="1215"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栏次</w:t>
            </w:r>
          </w:p>
        </w:tc>
        <w:tc>
          <w:tcPr>
            <w:tcW w:w="1000"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1</w:t>
            </w:r>
          </w:p>
        </w:tc>
        <w:tc>
          <w:tcPr>
            <w:tcW w:w="1020"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4</w:t>
            </w:r>
          </w:p>
        </w:tc>
        <w:tc>
          <w:tcPr>
            <w:tcW w:w="1020"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7</w:t>
            </w:r>
          </w:p>
        </w:tc>
        <w:tc>
          <w:tcPr>
            <w:tcW w:w="1160" w:type="dxa"/>
            <w:tcBorders>
              <w:top w:val="single" w:color="000000" w:sz="4" w:space="0"/>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8</w:t>
            </w:r>
          </w:p>
        </w:tc>
        <w:tc>
          <w:tcPr>
            <w:tcW w:w="1150"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11</w:t>
            </w:r>
          </w:p>
        </w:tc>
        <w:tc>
          <w:tcPr>
            <w:tcW w:w="1231"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12</w:t>
            </w:r>
          </w:p>
        </w:tc>
      </w:tr>
      <w:tr>
        <w:trPr>
          <w:trHeight w:val="422" w:hRule="atLeast"/>
        </w:trPr>
        <w:tc>
          <w:tcPr>
            <w:tcW w:w="456" w:type="dxa"/>
            <w:vMerge w:val="continue"/>
            <w:tcBorders>
              <w:top w:val="nil"/>
              <w:left w:val="single" w:color="000000" w:sz="8" w:space="0"/>
              <w:bottom w:val="single" w:color="000000" w:sz="4" w:space="0"/>
              <w:right w:val="single" w:color="000000" w:sz="4" w:space="0"/>
            </w:tcBorders>
            <w:vAlign w:val="center"/>
          </w:tcPr>
          <w:p>
            <w:pPr>
              <w:rPr>
                <w:rFonts w:cs="Arial"/>
                <w:color w:val="000000"/>
                <w:sz w:val="22"/>
                <w:szCs w:val="22"/>
              </w:rPr>
            </w:pPr>
          </w:p>
        </w:tc>
        <w:tc>
          <w:tcPr>
            <w:tcW w:w="456" w:type="dxa"/>
            <w:vMerge w:val="continue"/>
            <w:tcBorders>
              <w:top w:val="nil"/>
              <w:left w:val="nil"/>
              <w:bottom w:val="single" w:color="000000" w:sz="4" w:space="0"/>
              <w:right w:val="single" w:color="000000" w:sz="4" w:space="0"/>
            </w:tcBorders>
            <w:vAlign w:val="center"/>
          </w:tcPr>
          <w:p>
            <w:pPr>
              <w:rPr>
                <w:rFonts w:cs="Arial"/>
                <w:color w:val="000000"/>
                <w:sz w:val="22"/>
                <w:szCs w:val="22"/>
              </w:rPr>
            </w:pPr>
          </w:p>
        </w:tc>
        <w:tc>
          <w:tcPr>
            <w:tcW w:w="521" w:type="dxa"/>
            <w:gridSpan w:val="2"/>
            <w:vMerge w:val="continue"/>
            <w:tcBorders>
              <w:top w:val="nil"/>
              <w:left w:val="nil"/>
              <w:bottom w:val="single" w:color="000000" w:sz="4" w:space="0"/>
              <w:right w:val="single" w:color="000000" w:sz="4" w:space="0"/>
            </w:tcBorders>
            <w:vAlign w:val="center"/>
          </w:tcPr>
          <w:p>
            <w:pPr>
              <w:rPr>
                <w:rFonts w:cs="Arial"/>
                <w:color w:val="000000"/>
                <w:sz w:val="22"/>
                <w:szCs w:val="22"/>
              </w:rPr>
            </w:pPr>
          </w:p>
        </w:tc>
        <w:tc>
          <w:tcPr>
            <w:tcW w:w="1215"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合计</w:t>
            </w:r>
          </w:p>
        </w:tc>
        <w:tc>
          <w:tcPr>
            <w:tcW w:w="1000"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020"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020"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160"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150"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231" w:type="dxa"/>
            <w:tcBorders>
              <w:top w:val="nil"/>
              <w:left w:val="nil"/>
              <w:bottom w:val="single" w:color="000000" w:sz="4" w:space="0"/>
              <w:right w:val="single" w:color="000000" w:sz="4" w:space="0"/>
            </w:tcBorders>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r>
    </w:tbl>
    <w:p>
      <w:pPr>
        <w:shd w:val="clear" w:color="auto" w:fill="FFFFFF"/>
        <w:spacing w:before="100" w:beforeAutospacing="1" w:after="100" w:afterAutospacing="1"/>
        <w:rPr>
          <w:rFonts w:ascii="仿宋" w:hAnsi="仿宋" w:eastAsia="仿宋"/>
        </w:rPr>
      </w:pPr>
      <w:r>
        <w:t>注：本表金额转换为万元时，因四舍五入可能存在尾数差异。</w:t>
      </w:r>
    </w:p>
    <w:p>
      <w:pPr>
        <w:shd w:val="clear" w:color="auto" w:fill="FFFFFF"/>
        <w:spacing w:before="100" w:beforeAutospacing="1" w:after="100" w:afterAutospacing="1"/>
        <w:rPr>
          <w:rFonts w:ascii="仿宋" w:hAnsi="仿宋" w:eastAsia="仿宋" w:cs="仿宋_GB2312"/>
          <w:sz w:val="32"/>
          <w:szCs w:val="32"/>
        </w:rPr>
      </w:pPr>
      <w:r>
        <w:rPr>
          <w:rFonts w:hint="eastAsia" w:ascii="仿宋" w:hAnsi="仿宋" w:eastAsia="仿宋" w:cs="仿宋_GB2312"/>
          <w:sz w:val="32"/>
          <w:szCs w:val="32"/>
        </w:rPr>
        <w:t>本单位2019年度没有使用政府性基金预算拨款安排的收支。</w:t>
      </w:r>
    </w:p>
    <w:p>
      <w:pPr>
        <w:pStyle w:val="5"/>
        <w:numPr>
          <w:ilvl w:val="0"/>
          <w:numId w:val="1"/>
        </w:numPr>
        <w:shd w:val="clear" w:color="auto" w:fill="FFFFFF"/>
        <w:ind w:hanging="720"/>
        <w:rPr>
          <w:rFonts w:ascii="黑体" w:hAnsi="仿宋" w:eastAsia="黑体"/>
          <w:sz w:val="32"/>
          <w:szCs w:val="32"/>
        </w:rPr>
      </w:pPr>
      <w:r>
        <w:t>{C}</w:t>
      </w:r>
      <w:r>
        <w:rPr>
          <w:rFonts w:hint="eastAsia" w:ascii="黑体" w:hAnsi="仿宋" w:eastAsia="黑体"/>
          <w:sz w:val="32"/>
          <w:szCs w:val="32"/>
        </w:rPr>
        <w:t xml:space="preserve">机构运行信息表 </w:t>
      </w:r>
    </w:p>
    <w:tbl>
      <w:tblPr>
        <w:tblW w:w="935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11"/>
        <w:gridCol w:w="1716"/>
        <w:gridCol w:w="1104"/>
        <w:gridCol w:w="1858"/>
        <w:gridCol w:w="1667"/>
      </w:tblGrid>
      <w:tr>
        <w:trPr>
          <w:trHeight w:val="540" w:hRule="atLeast"/>
        </w:trPr>
        <w:tc>
          <w:tcPr>
            <w:tcW w:w="9356" w:type="dxa"/>
            <w:gridSpan w:val="5"/>
            <w:vAlign w:val="bottom"/>
          </w:tcPr>
          <w:p>
            <w:pPr>
              <w:spacing w:before="100" w:beforeAutospacing="1" w:after="100" w:afterAutospacing="1"/>
              <w:jc w:val="center"/>
              <w:rPr>
                <w:rFonts w:cs="Arial"/>
                <w:color w:val="000000"/>
                <w:sz w:val="44"/>
                <w:szCs w:val="44"/>
              </w:rPr>
            </w:pPr>
            <w:r>
              <w:rPr>
                <w:rFonts w:hint="eastAsia" w:ascii="黑体" w:hAnsi="Arial" w:eastAsia="黑体" w:cs="Arial"/>
                <w:color w:val="000000"/>
                <w:sz w:val="36"/>
                <w:szCs w:val="36"/>
              </w:rPr>
              <w:t>机构运行信息表</w:t>
            </w:r>
          </w:p>
        </w:tc>
      </w:tr>
      <w:tr>
        <w:trPr>
          <w:trHeight w:val="315" w:hRule="atLeast"/>
        </w:trPr>
        <w:tc>
          <w:tcPr>
            <w:tcW w:w="3011" w:type="dxa"/>
            <w:vAlign w:val="bottom"/>
          </w:tcPr>
          <w:p>
            <w:pPr>
              <w:spacing w:before="100" w:beforeAutospacing="1" w:after="100" w:afterAutospacing="1"/>
              <w:rPr>
                <w:rFonts w:cs="Arial"/>
                <w:color w:val="000000"/>
              </w:rPr>
            </w:pPr>
            <w:r>
              <w:rPr>
                <w:rFonts w:hint="eastAsia" w:cs="Arial"/>
                <w:color w:val="000000"/>
              </w:rPr>
              <w:t>编制单位：</w:t>
            </w:r>
          </w:p>
        </w:tc>
        <w:tc>
          <w:tcPr>
            <w:tcW w:w="2820" w:type="dxa"/>
            <w:gridSpan w:val="2"/>
            <w:tcBorders>
              <w:top w:val="nil"/>
              <w:left w:val="nil"/>
              <w:bottom w:val="single" w:color="auto" w:sz="4" w:space="0"/>
              <w:right w:val="nil"/>
            </w:tcBorders>
            <w:vAlign w:val="bottom"/>
          </w:tcPr>
          <w:p>
            <w:r>
              <w:t> </w:t>
            </w:r>
          </w:p>
        </w:tc>
        <w:tc>
          <w:tcPr>
            <w:tcW w:w="3525" w:type="dxa"/>
            <w:gridSpan w:val="2"/>
            <w:tcBorders>
              <w:top w:val="nil"/>
              <w:left w:val="nil"/>
              <w:bottom w:val="single" w:color="000000" w:sz="8" w:space="0"/>
              <w:right w:val="nil"/>
            </w:tcBorders>
            <w:vAlign w:val="bottom"/>
          </w:tcPr>
          <w:p>
            <w:pPr>
              <w:spacing w:before="100" w:beforeAutospacing="1" w:after="100" w:afterAutospacing="1"/>
              <w:jc w:val="right"/>
              <w:rPr>
                <w:rFonts w:cs="Arial"/>
                <w:color w:val="000000"/>
              </w:rPr>
            </w:pPr>
            <w:r>
              <w:rPr>
                <w:rFonts w:hint="eastAsia" w:cs="Arial"/>
                <w:color w:val="000000"/>
              </w:rPr>
              <w:t>金额单位：万元</w:t>
            </w:r>
          </w:p>
        </w:tc>
      </w:tr>
      <w:tr>
        <w:trPr>
          <w:trHeight w:val="308" w:hRule="atLeast"/>
        </w:trPr>
        <w:tc>
          <w:tcPr>
            <w:tcW w:w="3011" w:type="dxa"/>
            <w:tcBorders>
              <w:top w:val="single" w:color="000000" w:sz="8" w:space="0"/>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1716" w:type="dxa"/>
            <w:tcBorders>
              <w:top w:val="single" w:color="auto" w:sz="4" w:space="0"/>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统计数</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统计数</w:t>
            </w:r>
          </w:p>
        </w:tc>
      </w:tr>
      <w:tr>
        <w:trPr>
          <w:trHeight w:val="308" w:hRule="atLeast"/>
        </w:trPr>
        <w:tc>
          <w:tcPr>
            <w:tcW w:w="3011"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一、“三公”经费支出</w:t>
            </w:r>
          </w:p>
        </w:tc>
        <w:tc>
          <w:tcPr>
            <w:tcW w:w="1716" w:type="dxa"/>
            <w:tcBorders>
              <w:top w:val="nil"/>
              <w:left w:val="nil"/>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二、机关运行经费</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2,010.29</w:t>
            </w:r>
          </w:p>
        </w:tc>
      </w:tr>
      <w:tr>
        <w:trPr>
          <w:trHeight w:val="308" w:hRule="atLeast"/>
        </w:trPr>
        <w:tc>
          <w:tcPr>
            <w:tcW w:w="3011"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（一）支出合计</w:t>
            </w:r>
          </w:p>
        </w:tc>
        <w:tc>
          <w:tcPr>
            <w:tcW w:w="1716"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77.63</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（一）行政单位</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2,010.29</w:t>
            </w:r>
          </w:p>
        </w:tc>
      </w:tr>
      <w:tr>
        <w:trPr>
          <w:trHeight w:val="308" w:hRule="atLeast"/>
        </w:trPr>
        <w:tc>
          <w:tcPr>
            <w:tcW w:w="3011" w:type="dxa"/>
            <w:tcBorders>
              <w:top w:val="nil"/>
              <w:left w:val="single" w:color="000000" w:sz="8" w:space="0"/>
              <w:bottom w:val="single" w:color="auto"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1.因公出国（境）费</w:t>
            </w:r>
          </w:p>
        </w:tc>
        <w:tc>
          <w:tcPr>
            <w:tcW w:w="1716" w:type="dxa"/>
            <w:tcBorders>
              <w:top w:val="nil"/>
              <w:left w:val="nil"/>
              <w:bottom w:val="single" w:color="auto"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17.75</w:t>
            </w:r>
          </w:p>
        </w:tc>
        <w:tc>
          <w:tcPr>
            <w:tcW w:w="2962" w:type="dxa"/>
            <w:gridSpan w:val="2"/>
            <w:tcBorders>
              <w:top w:val="nil"/>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（二）参照公务员法管理事业单位</w:t>
            </w:r>
          </w:p>
        </w:tc>
        <w:tc>
          <w:tcPr>
            <w:tcW w:w="1667" w:type="dxa"/>
            <w:tcBorders>
              <w:top w:val="nil"/>
              <w:left w:val="nil"/>
              <w:bottom w:val="single" w:color="auto"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p>
        </w:tc>
      </w:tr>
      <w:tr>
        <w:trPr>
          <w:trHeight w:val="308" w:hRule="atLeast"/>
        </w:trPr>
        <w:tc>
          <w:tcPr>
            <w:tcW w:w="30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2.公务用车购置及运行维护费</w:t>
            </w:r>
          </w:p>
        </w:tc>
        <w:tc>
          <w:tcPr>
            <w:tcW w:w="1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40.87</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三、国有资产占用情况</w:t>
            </w:r>
          </w:p>
        </w:tc>
        <w:tc>
          <w:tcPr>
            <w:tcW w:w="16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Arial"/>
                <w:color w:val="000000"/>
                <w:sz w:val="20"/>
                <w:szCs w:val="20"/>
              </w:rPr>
              <w:t>--</w:t>
            </w:r>
          </w:p>
        </w:tc>
      </w:tr>
      <w:tr>
        <w:trPr>
          <w:trHeight w:val="308" w:hRule="atLeast"/>
        </w:trPr>
        <w:tc>
          <w:tcPr>
            <w:tcW w:w="3011" w:type="dxa"/>
            <w:tcBorders>
              <w:top w:val="single" w:color="auto" w:sz="4" w:space="0"/>
              <w:left w:val="single" w:color="000000" w:sz="8" w:space="0"/>
              <w:bottom w:val="single" w:color="000000"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（1）公务用车购置费</w:t>
            </w:r>
          </w:p>
        </w:tc>
        <w:tc>
          <w:tcPr>
            <w:tcW w:w="1716" w:type="dxa"/>
            <w:tcBorders>
              <w:top w:val="single" w:color="auto" w:sz="4" w:space="0"/>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p>
        </w:tc>
        <w:tc>
          <w:tcPr>
            <w:tcW w:w="2962" w:type="dxa"/>
            <w:gridSpan w:val="2"/>
            <w:tcBorders>
              <w:top w:val="single" w:color="auto" w:sz="4" w:space="0"/>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（一）车辆数合计（辆）</w:t>
            </w:r>
          </w:p>
        </w:tc>
        <w:tc>
          <w:tcPr>
            <w:tcW w:w="1667" w:type="dxa"/>
            <w:tcBorders>
              <w:top w:val="single" w:color="auto" w:sz="4" w:space="0"/>
              <w:left w:val="nil"/>
              <w:bottom w:val="single" w:color="000000" w:sz="4" w:space="0"/>
              <w:right w:val="single" w:color="000000" w:sz="4" w:space="0"/>
            </w:tcBorders>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26</w:t>
            </w:r>
          </w:p>
        </w:tc>
      </w:tr>
      <w:tr>
        <w:trPr>
          <w:trHeight w:val="308" w:hRule="atLeast"/>
        </w:trPr>
        <w:tc>
          <w:tcPr>
            <w:tcW w:w="3011" w:type="dxa"/>
            <w:tcBorders>
              <w:top w:val="nil"/>
              <w:left w:val="single" w:color="000000" w:sz="8" w:space="0"/>
              <w:bottom w:val="single" w:color="auto"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（2）公务用车运行维护费</w:t>
            </w:r>
          </w:p>
        </w:tc>
        <w:tc>
          <w:tcPr>
            <w:tcW w:w="1716" w:type="dxa"/>
            <w:tcBorders>
              <w:top w:val="nil"/>
              <w:left w:val="nil"/>
              <w:bottom w:val="single" w:color="auto"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40.87</w:t>
            </w:r>
          </w:p>
        </w:tc>
        <w:tc>
          <w:tcPr>
            <w:tcW w:w="2962" w:type="dxa"/>
            <w:gridSpan w:val="2"/>
            <w:tcBorders>
              <w:top w:val="nil"/>
              <w:left w:val="nil"/>
              <w:bottom w:val="single" w:color="auto"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1.</w:t>
            </w:r>
            <w:r>
              <w:rPr>
                <w:rFonts w:hint="eastAsia" w:ascii="Calibri" w:hAnsi="Calibri" w:eastAsia="宋体" w:cs="Arial"/>
                <w:color w:val="000000"/>
                <w:sz w:val="22"/>
                <w:szCs w:val="22"/>
              </w:rPr>
              <w:t>副部（省）级及以上领导用车</w:t>
            </w:r>
          </w:p>
        </w:tc>
        <w:tc>
          <w:tcPr>
            <w:tcW w:w="1667" w:type="dxa"/>
            <w:tcBorders>
              <w:top w:val="nil"/>
              <w:left w:val="nil"/>
              <w:bottom w:val="single" w:color="auto" w:sz="4" w:space="0"/>
              <w:right w:val="single" w:color="000000" w:sz="4" w:space="0"/>
            </w:tcBorders>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rPr>
          <w:trHeight w:val="308" w:hRule="atLeast"/>
        </w:trPr>
        <w:tc>
          <w:tcPr>
            <w:tcW w:w="30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3.公务接待费</w:t>
            </w:r>
          </w:p>
        </w:tc>
        <w:tc>
          <w:tcPr>
            <w:tcW w:w="1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19.01</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2.</w:t>
            </w:r>
            <w:r>
              <w:rPr>
                <w:rFonts w:hint="eastAsia" w:ascii="Calibri" w:hAnsi="Calibri" w:eastAsia="宋体" w:cs="Arial"/>
                <w:color w:val="000000"/>
                <w:sz w:val="22"/>
                <w:szCs w:val="22"/>
              </w:rPr>
              <w:t>主要领导干部用车</w:t>
            </w:r>
          </w:p>
        </w:tc>
        <w:tc>
          <w:tcPr>
            <w:tcW w:w="16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w:t>
            </w:r>
          </w:p>
        </w:tc>
      </w:tr>
      <w:tr>
        <w:trPr>
          <w:trHeight w:val="308" w:hRule="atLeast"/>
        </w:trPr>
        <w:tc>
          <w:tcPr>
            <w:tcW w:w="3011" w:type="dxa"/>
            <w:tcBorders>
              <w:top w:val="single" w:color="auto" w:sz="4" w:space="0"/>
              <w:left w:val="single" w:color="000000" w:sz="8" w:space="0"/>
              <w:bottom w:val="single" w:color="000000"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（1）国内接待费</w:t>
            </w:r>
          </w:p>
        </w:tc>
        <w:tc>
          <w:tcPr>
            <w:tcW w:w="171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19.01</w:t>
            </w:r>
          </w:p>
        </w:tc>
        <w:tc>
          <w:tcPr>
            <w:tcW w:w="2962" w:type="dxa"/>
            <w:gridSpan w:val="2"/>
            <w:tcBorders>
              <w:top w:val="single" w:color="auto" w:sz="4" w:space="0"/>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3.</w:t>
            </w:r>
            <w:r>
              <w:rPr>
                <w:rFonts w:hint="eastAsia" w:ascii="Calibri" w:hAnsi="Calibri" w:eastAsia="宋体" w:cs="Arial"/>
                <w:color w:val="000000"/>
                <w:sz w:val="22"/>
                <w:szCs w:val="22"/>
              </w:rPr>
              <w:t>机要通信用车</w:t>
            </w:r>
          </w:p>
        </w:tc>
        <w:tc>
          <w:tcPr>
            <w:tcW w:w="1667" w:type="dxa"/>
            <w:tcBorders>
              <w:top w:val="single" w:color="auto" w:sz="4" w:space="0"/>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rPr>
          <w:trHeight w:val="308" w:hRule="atLeast"/>
        </w:trPr>
        <w:tc>
          <w:tcPr>
            <w:tcW w:w="3011"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其中：外事接待费</w:t>
            </w:r>
          </w:p>
        </w:tc>
        <w:tc>
          <w:tcPr>
            <w:tcW w:w="1716"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4.</w:t>
            </w:r>
            <w:r>
              <w:rPr>
                <w:rFonts w:hint="eastAsia" w:ascii="Calibri" w:hAnsi="Calibri" w:eastAsia="宋体" w:cs="Arial"/>
                <w:color w:val="000000"/>
                <w:sz w:val="22"/>
                <w:szCs w:val="22"/>
              </w:rPr>
              <w:t>应急保障用车</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rPr>
          <w:trHeight w:val="308" w:hRule="atLeast"/>
        </w:trPr>
        <w:tc>
          <w:tcPr>
            <w:tcW w:w="3011"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（2）国（境）外接待费</w:t>
            </w:r>
          </w:p>
        </w:tc>
        <w:tc>
          <w:tcPr>
            <w:tcW w:w="1716" w:type="dxa"/>
            <w:tcBorders>
              <w:top w:val="nil"/>
              <w:left w:val="nil"/>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5.</w:t>
            </w:r>
            <w:r>
              <w:rPr>
                <w:rFonts w:hint="eastAsia" w:ascii="Calibri" w:hAnsi="Calibri" w:eastAsia="宋体" w:cs="Arial"/>
                <w:color w:val="000000"/>
                <w:sz w:val="22"/>
                <w:szCs w:val="22"/>
              </w:rPr>
              <w:t>执法执勤用车</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20</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（二）相关统计数</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Arial"/>
                <w:color w:val="000000"/>
                <w:sz w:val="20"/>
                <w:szCs w:val="20"/>
              </w:rPr>
              <w:t>--</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6.</w:t>
            </w:r>
            <w:r>
              <w:rPr>
                <w:rFonts w:hint="eastAsia" w:ascii="Calibri" w:hAnsi="Calibri" w:eastAsia="宋体" w:cs="Arial"/>
                <w:color w:val="000000"/>
                <w:sz w:val="22"/>
                <w:szCs w:val="22"/>
              </w:rPr>
              <w:t>特种专业技术用车</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5</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1.因公出国（境）团组数（个）</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7.</w:t>
            </w:r>
            <w:r>
              <w:rPr>
                <w:rFonts w:hint="eastAsia" w:ascii="Calibri" w:hAnsi="Calibri" w:eastAsia="宋体" w:cs="Arial"/>
                <w:color w:val="000000"/>
                <w:sz w:val="22"/>
                <w:szCs w:val="22"/>
              </w:rPr>
              <w:t>离退休干部用车</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2.因公出国（境）人次数（人）</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4</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cs="Arial"/>
                <w:color w:val="000000"/>
                <w:sz w:val="22"/>
                <w:szCs w:val="22"/>
              </w:rPr>
              <w:t xml:space="preserve">  8.</w:t>
            </w:r>
            <w:r>
              <w:rPr>
                <w:rFonts w:hint="eastAsia" w:ascii="Calibri" w:hAnsi="Calibri" w:eastAsia="宋体" w:cs="Arial"/>
                <w:color w:val="000000"/>
                <w:sz w:val="22"/>
                <w:szCs w:val="22"/>
              </w:rPr>
              <w:t>其他用车</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3.公务用车购置数（辆）</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cs="Arial"/>
                <w:color w:val="000000"/>
                <w:sz w:val="22"/>
                <w:szCs w:val="22"/>
              </w:rPr>
            </w:pPr>
            <w:r>
              <w:rPr>
                <w:rFonts w:hint="eastAsia" w:ascii="Calibri" w:hAnsi="Calibri" w:eastAsia="宋体" w:cs="Arial"/>
                <w:color w:val="000000"/>
                <w:sz w:val="22"/>
                <w:szCs w:val="22"/>
              </w:rPr>
              <w:t>（二）单价</w:t>
            </w:r>
            <w:r>
              <w:rPr>
                <w:rFonts w:cs="Arial"/>
                <w:color w:val="000000"/>
                <w:sz w:val="22"/>
                <w:szCs w:val="22"/>
              </w:rPr>
              <w:t>50</w:t>
            </w:r>
            <w:r>
              <w:rPr>
                <w:rFonts w:hint="eastAsia" w:ascii="Calibri" w:hAnsi="Calibri" w:eastAsia="宋体" w:cs="Arial"/>
                <w:color w:val="000000"/>
                <w:sz w:val="22"/>
                <w:szCs w:val="22"/>
              </w:rPr>
              <w:t>万元以上通用设备（台，套）</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8</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4.公务用车保有量（辆）</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26</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ascii="Calibri" w:hAnsi="Calibri" w:eastAsia="宋体" w:cs="Arial"/>
                <w:color w:val="000000"/>
                <w:sz w:val="22"/>
                <w:szCs w:val="22"/>
              </w:rPr>
            </w:pPr>
            <w:r>
              <w:rPr>
                <w:rFonts w:hint="eastAsia" w:ascii="Calibri" w:hAnsi="Calibri" w:eastAsia="宋体" w:cs="Arial"/>
                <w:color w:val="000000"/>
                <w:sz w:val="22"/>
                <w:szCs w:val="22"/>
              </w:rPr>
              <w:t>（三）单价</w:t>
            </w:r>
            <w:r>
              <w:rPr>
                <w:rFonts w:ascii="Calibri" w:hAnsi="Calibri" w:eastAsia="宋体" w:cs="Arial"/>
                <w:color w:val="000000"/>
                <w:sz w:val="22"/>
                <w:szCs w:val="22"/>
              </w:rPr>
              <w:t>100</w:t>
            </w:r>
            <w:r>
              <w:rPr>
                <w:rFonts w:hint="eastAsia" w:ascii="Calibri" w:hAnsi="Calibri" w:eastAsia="宋体" w:cs="Arial"/>
                <w:color w:val="000000"/>
                <w:sz w:val="22"/>
                <w:szCs w:val="22"/>
              </w:rPr>
              <w:t>万元以上专用设备（台，套）</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5.国内公务接待批次（个）</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137</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ascii="Calibri" w:hAnsi="Calibri" w:eastAsia="宋体" w:cs="Arial"/>
                <w:color w:val="000000"/>
                <w:sz w:val="22"/>
                <w:szCs w:val="22"/>
              </w:rPr>
            </w:pPr>
            <w:r>
              <w:rPr>
                <w:rFonts w:hint="eastAsia" w:ascii="Calibri" w:hAnsi="Calibri" w:eastAsia="宋体" w:cs="Arial"/>
                <w:color w:val="000000"/>
                <w:sz w:val="22"/>
                <w:szCs w:val="22"/>
              </w:rPr>
              <w:t>四、政府采购支出信息</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ind w:right="1100"/>
              <w:jc w:val="right"/>
              <w:rPr>
                <w:rFonts w:ascii="仿宋" w:hAnsi="仿宋" w:eastAsia="仿宋" w:cs="Arial"/>
                <w:color w:val="000000"/>
                <w:sz w:val="20"/>
                <w:szCs w:val="20"/>
              </w:rPr>
            </w:pPr>
            <w:r>
              <w:rPr>
                <w:rFonts w:hint="eastAsia" w:ascii="仿宋" w:hAnsi="仿宋" w:eastAsia="仿宋" w:cs="Arial"/>
                <w:color w:val="000000"/>
                <w:sz w:val="20"/>
                <w:szCs w:val="20"/>
              </w:rPr>
              <w:t>--</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其中：外事接待批次（个）</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ascii="Calibri" w:hAnsi="Calibri" w:eastAsia="宋体" w:cs="Arial"/>
                <w:color w:val="000000"/>
                <w:sz w:val="22"/>
                <w:szCs w:val="22"/>
              </w:rPr>
            </w:pPr>
            <w:r>
              <w:rPr>
                <w:rFonts w:ascii="Calibri" w:hAnsi="Calibri" w:eastAsia="宋体" w:cs="Arial"/>
                <w:color w:val="000000"/>
                <w:sz w:val="22"/>
                <w:szCs w:val="22"/>
              </w:rPr>
              <w:t xml:space="preserve">  </w:t>
            </w:r>
            <w:r>
              <w:rPr>
                <w:rFonts w:hint="eastAsia" w:ascii="Calibri" w:hAnsi="Calibri" w:eastAsia="宋体" w:cs="Arial"/>
                <w:color w:val="000000"/>
                <w:sz w:val="22"/>
                <w:szCs w:val="22"/>
              </w:rPr>
              <w:t>（一）政府采购支出合计</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1,777.65</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6.国内公务接待人次（人）</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1,177</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ascii="Calibri" w:hAnsi="Calibri" w:eastAsia="宋体" w:cs="Arial"/>
                <w:color w:val="000000"/>
                <w:sz w:val="22"/>
                <w:szCs w:val="22"/>
              </w:rPr>
            </w:pPr>
            <w:r>
              <w:rPr>
                <w:rFonts w:ascii="Calibri" w:hAnsi="Calibri" w:eastAsia="宋体" w:cs="Arial"/>
                <w:color w:val="000000"/>
                <w:sz w:val="22"/>
                <w:szCs w:val="22"/>
              </w:rPr>
              <w:t xml:space="preserve">     1</w:t>
            </w:r>
            <w:r>
              <w:rPr>
                <w:rFonts w:hint="eastAsia" w:ascii="Calibri" w:hAnsi="Calibri" w:eastAsia="宋体" w:cs="Arial"/>
                <w:color w:val="000000"/>
                <w:sz w:val="22"/>
                <w:szCs w:val="22"/>
              </w:rPr>
              <w:t>．政府采购货物支出</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1,247.81</w:t>
            </w:r>
          </w:p>
        </w:tc>
      </w:tr>
      <w:tr>
        <w:trPr>
          <w:trHeight w:val="308" w:hRule="atLeast"/>
        </w:trPr>
        <w:tc>
          <w:tcPr>
            <w:tcW w:w="3011" w:type="dxa"/>
            <w:tcBorders>
              <w:top w:val="nil"/>
              <w:left w:val="single" w:color="000000" w:sz="8" w:space="0"/>
              <w:bottom w:val="single" w:color="000000"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其中：外事接待人次（人）</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c>
          <w:tcPr>
            <w:tcW w:w="2962" w:type="dxa"/>
            <w:gridSpan w:val="2"/>
            <w:tcBorders>
              <w:top w:val="nil"/>
              <w:left w:val="nil"/>
              <w:bottom w:val="single" w:color="000000" w:sz="4" w:space="0"/>
              <w:right w:val="single" w:color="000000" w:sz="4" w:space="0"/>
            </w:tcBorders>
            <w:vAlign w:val="center"/>
          </w:tcPr>
          <w:p>
            <w:pPr>
              <w:spacing w:before="100" w:beforeAutospacing="1" w:after="100" w:afterAutospacing="1"/>
              <w:rPr>
                <w:rFonts w:ascii="Calibri" w:hAnsi="Calibri" w:eastAsia="宋体" w:cs="Arial"/>
                <w:color w:val="000000"/>
                <w:sz w:val="22"/>
                <w:szCs w:val="22"/>
              </w:rPr>
            </w:pPr>
            <w:r>
              <w:rPr>
                <w:rFonts w:ascii="Calibri" w:hAnsi="Calibri" w:eastAsia="宋体" w:cs="Arial"/>
                <w:color w:val="000000"/>
                <w:sz w:val="22"/>
                <w:szCs w:val="22"/>
              </w:rPr>
              <w:t xml:space="preserve">     2</w:t>
            </w:r>
            <w:r>
              <w:rPr>
                <w:rFonts w:hint="eastAsia" w:ascii="Calibri" w:hAnsi="Calibri" w:eastAsia="宋体" w:cs="Arial"/>
                <w:color w:val="000000"/>
                <w:sz w:val="22"/>
                <w:szCs w:val="22"/>
              </w:rPr>
              <w:t>．政府采购工程支出</w:t>
            </w:r>
          </w:p>
        </w:tc>
        <w:tc>
          <w:tcPr>
            <w:tcW w:w="1667" w:type="dxa"/>
            <w:tcBorders>
              <w:top w:val="nil"/>
              <w:left w:val="nil"/>
              <w:bottom w:val="single" w:color="000000"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146.77</w:t>
            </w:r>
          </w:p>
        </w:tc>
      </w:tr>
      <w:tr>
        <w:trPr>
          <w:trHeight w:val="308" w:hRule="atLeast"/>
        </w:trPr>
        <w:tc>
          <w:tcPr>
            <w:tcW w:w="3011" w:type="dxa"/>
            <w:tcBorders>
              <w:top w:val="nil"/>
              <w:left w:val="single" w:color="000000" w:sz="8" w:space="0"/>
              <w:bottom w:val="single" w:color="auto" w:sz="4" w:space="0"/>
              <w:right w:val="nil"/>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7.国（境）外公务接待批次（个）</w:t>
            </w:r>
          </w:p>
        </w:tc>
        <w:tc>
          <w:tcPr>
            <w:tcW w:w="1716" w:type="dxa"/>
            <w:tcBorders>
              <w:top w:val="nil"/>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c>
          <w:tcPr>
            <w:tcW w:w="2962" w:type="dxa"/>
            <w:gridSpan w:val="2"/>
            <w:tcBorders>
              <w:top w:val="nil"/>
              <w:left w:val="nil"/>
              <w:bottom w:val="single" w:color="auto" w:sz="4" w:space="0"/>
              <w:right w:val="single" w:color="000000" w:sz="4" w:space="0"/>
            </w:tcBorders>
            <w:vAlign w:val="center"/>
          </w:tcPr>
          <w:p>
            <w:pPr>
              <w:spacing w:before="100" w:beforeAutospacing="1" w:after="100" w:afterAutospacing="1"/>
              <w:rPr>
                <w:rFonts w:ascii="Calibri" w:hAnsi="Calibri" w:eastAsia="宋体" w:cs="Arial"/>
                <w:color w:val="000000"/>
                <w:sz w:val="22"/>
                <w:szCs w:val="22"/>
              </w:rPr>
            </w:pPr>
            <w:r>
              <w:rPr>
                <w:rFonts w:ascii="Calibri" w:hAnsi="Calibri" w:eastAsia="宋体" w:cs="Arial"/>
                <w:color w:val="000000"/>
                <w:sz w:val="22"/>
                <w:szCs w:val="22"/>
              </w:rPr>
              <w:t xml:space="preserve">     3</w:t>
            </w:r>
            <w:r>
              <w:rPr>
                <w:rFonts w:hint="eastAsia" w:ascii="Calibri" w:hAnsi="Calibri" w:eastAsia="宋体" w:cs="Arial"/>
                <w:color w:val="000000"/>
                <w:sz w:val="22"/>
                <w:szCs w:val="22"/>
              </w:rPr>
              <w:t>．政府采购服务支出</w:t>
            </w:r>
          </w:p>
        </w:tc>
        <w:tc>
          <w:tcPr>
            <w:tcW w:w="1667" w:type="dxa"/>
            <w:tcBorders>
              <w:top w:val="nil"/>
              <w:left w:val="nil"/>
              <w:bottom w:val="single" w:color="auto" w:sz="4" w:space="0"/>
              <w:right w:val="single" w:color="000000"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383.08</w:t>
            </w:r>
          </w:p>
        </w:tc>
      </w:tr>
      <w:tr>
        <w:trPr>
          <w:trHeight w:val="308" w:hRule="atLeast"/>
        </w:trPr>
        <w:tc>
          <w:tcPr>
            <w:tcW w:w="30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eastAsia="宋体" w:cs="Arial"/>
                <w:color w:val="000000"/>
                <w:sz w:val="22"/>
                <w:szCs w:val="22"/>
              </w:rPr>
            </w:pPr>
            <w:r>
              <w:rPr>
                <w:rFonts w:hint="eastAsia" w:ascii="宋体" w:hAnsi="宋体" w:eastAsia="宋体" w:cs="Arial"/>
                <w:color w:val="000000"/>
                <w:sz w:val="22"/>
                <w:szCs w:val="22"/>
              </w:rPr>
              <w:t xml:space="preserve">  8.国（境）外公务接待人次（人）</w:t>
            </w:r>
          </w:p>
        </w:tc>
        <w:tc>
          <w:tcPr>
            <w:tcW w:w="1716" w:type="dxa"/>
            <w:tcBorders>
              <w:top w:val="single" w:color="auto" w:sz="4" w:space="0"/>
              <w:left w:val="nil"/>
              <w:bottom w:val="nil"/>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c>
          <w:tcPr>
            <w:tcW w:w="296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Calibri" w:hAnsi="Calibri" w:eastAsia="宋体" w:cs="Arial"/>
                <w:color w:val="000000"/>
                <w:sz w:val="22"/>
                <w:szCs w:val="22"/>
              </w:rPr>
            </w:pPr>
            <w:r>
              <w:rPr>
                <w:rFonts w:ascii="Calibri" w:hAnsi="Calibri" w:eastAsia="宋体" w:cs="Arial"/>
                <w:color w:val="000000"/>
                <w:sz w:val="22"/>
                <w:szCs w:val="22"/>
              </w:rPr>
              <w:t xml:space="preserve">  </w:t>
            </w:r>
            <w:r>
              <w:rPr>
                <w:rFonts w:hint="eastAsia" w:ascii="Calibri" w:hAnsi="Calibri" w:eastAsia="宋体" w:cs="Arial"/>
                <w:color w:val="000000"/>
                <w:sz w:val="22"/>
                <w:szCs w:val="22"/>
              </w:rPr>
              <w:t>（二）政府采购授予中小企业合同金额</w:t>
            </w:r>
          </w:p>
        </w:tc>
        <w:tc>
          <w:tcPr>
            <w:tcW w:w="16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p>
        </w:tc>
      </w:tr>
      <w:tr>
        <w:trPr>
          <w:trHeight w:val="308" w:hRule="atLeast"/>
        </w:trPr>
        <w:tc>
          <w:tcPr>
            <w:tcW w:w="30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Arial"/>
                <w:color w:val="000000"/>
                <w:sz w:val="22"/>
                <w:szCs w:val="22"/>
              </w:rPr>
            </w:pPr>
          </w:p>
        </w:tc>
        <w:tc>
          <w:tcPr>
            <w:tcW w:w="1716"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right"/>
              <w:rPr>
                <w:rFonts w:cs="Arial"/>
                <w:color w:val="000000"/>
                <w:sz w:val="22"/>
                <w:szCs w:val="22"/>
              </w:rPr>
            </w:pPr>
          </w:p>
        </w:tc>
        <w:tc>
          <w:tcPr>
            <w:tcW w:w="2962"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Calibri" w:hAnsi="Calibri" w:eastAsia="宋体" w:cs="Arial"/>
                <w:color w:val="000000"/>
                <w:sz w:val="22"/>
                <w:szCs w:val="22"/>
              </w:rPr>
            </w:pPr>
            <w:r>
              <w:rPr>
                <w:rFonts w:ascii="Calibri" w:hAnsi="Calibri" w:eastAsia="宋体" w:cs="Arial"/>
                <w:color w:val="000000"/>
                <w:sz w:val="22"/>
                <w:szCs w:val="22"/>
              </w:rPr>
              <w:t xml:space="preserve">    </w:t>
            </w:r>
            <w:r>
              <w:rPr>
                <w:rFonts w:hint="eastAsia" w:ascii="Calibri" w:hAnsi="Calibri" w:eastAsia="宋体" w:cs="Arial"/>
                <w:color w:val="000000"/>
                <w:sz w:val="22"/>
                <w:szCs w:val="22"/>
              </w:rPr>
              <w:t>其中：授予小微企业合同金额</w:t>
            </w:r>
          </w:p>
        </w:tc>
        <w:tc>
          <w:tcPr>
            <w:tcW w:w="166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0.00</w:t>
            </w:r>
          </w:p>
        </w:tc>
      </w:tr>
    </w:tbl>
    <w:p>
      <w:pPr>
        <w:shd w:val="clear" w:color="auto" w:fill="FFFFFF"/>
        <w:spacing w:before="100" w:beforeAutospacing="1" w:after="100" w:afterAutospacing="1"/>
        <w:rPr>
          <w:rFonts w:ascii="仿宋" w:hAnsi="仿宋" w:eastAsia="仿宋"/>
        </w:rPr>
      </w:pPr>
      <w:r>
        <w:t>注：本表金额转换为万元时，因四舍五入可能存在尾数差异。</w:t>
      </w:r>
    </w:p>
    <w:p>
      <w:pPr>
        <w:shd w:val="clear" w:color="auto" w:fill="FFFFFF"/>
        <w:spacing w:before="100" w:beforeAutospacing="1" w:after="100" w:afterAutospacing="1"/>
        <w:ind w:firstLine="1440" w:firstLineChars="400"/>
        <w:rPr>
          <w:rFonts w:ascii="仿宋" w:hAnsi="仿宋" w:eastAsia="仿宋"/>
        </w:rPr>
      </w:pPr>
      <w:r>
        <w:rPr>
          <w:rFonts w:hint="eastAsia" w:ascii="黑体" w:hAnsi="黑体" w:eastAsia="黑体"/>
          <w:sz w:val="36"/>
          <w:szCs w:val="36"/>
        </w:rPr>
        <w:t>第三部分 2019年度部门决算情况说明</w:t>
      </w:r>
    </w:p>
    <w:p>
      <w:pPr>
        <w:shd w:val="clear" w:color="auto" w:fill="FFFFFF"/>
        <w:spacing w:before="100" w:beforeAutospacing="1" w:after="100" w:afterAutospacing="1" w:line="600" w:lineRule="exact"/>
        <w:rPr>
          <w:rFonts w:ascii="仿宋" w:hAnsi="仿宋" w:eastAsia="仿宋"/>
          <w:sz w:val="32"/>
          <w:szCs w:val="32"/>
        </w:rPr>
      </w:pPr>
    </w:p>
    <w:p>
      <w:pPr>
        <w:shd w:val="clear" w:color="auto" w:fill="FFFFFF"/>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2019年厦门市中级人民法院年初结转和结余</w:t>
      </w:r>
      <w:r>
        <w:rPr>
          <w:rFonts w:hint="eastAsia" w:ascii="仿宋" w:hAnsi="仿宋" w:eastAsia="仿宋" w:cs="仿宋_GB2312"/>
          <w:color w:val="333333"/>
          <w:sz w:val="32"/>
          <w:szCs w:val="32"/>
        </w:rPr>
        <w:t>1,446.00</w:t>
      </w:r>
      <w:r>
        <w:rPr>
          <w:rFonts w:hint="eastAsia" w:ascii="仿宋" w:hAnsi="仿宋" w:eastAsia="仿宋" w:cs="仿宋_GB2312"/>
          <w:sz w:val="32"/>
          <w:szCs w:val="32"/>
        </w:rPr>
        <w:t>万元，本年收入</w:t>
      </w:r>
      <w:r>
        <w:rPr>
          <w:rFonts w:hint="eastAsia" w:ascii="仿宋" w:hAnsi="仿宋" w:eastAsia="仿宋" w:cs="仿宋_GB2312"/>
          <w:color w:val="333333"/>
          <w:sz w:val="32"/>
          <w:szCs w:val="32"/>
        </w:rPr>
        <w:t>18,844.72</w:t>
      </w:r>
      <w:r>
        <w:rPr>
          <w:rFonts w:hint="eastAsia" w:ascii="仿宋" w:hAnsi="仿宋" w:eastAsia="仿宋" w:cs="仿宋_GB2312"/>
          <w:sz w:val="32"/>
          <w:szCs w:val="32"/>
        </w:rPr>
        <w:t>万元，本年支出</w:t>
      </w:r>
      <w:r>
        <w:rPr>
          <w:rFonts w:hint="eastAsia" w:ascii="仿宋" w:hAnsi="仿宋" w:eastAsia="仿宋" w:cs="仿宋_GB2312"/>
          <w:color w:val="333333"/>
          <w:sz w:val="32"/>
          <w:szCs w:val="32"/>
        </w:rPr>
        <w:t>16,878.71</w:t>
      </w:r>
      <w:r>
        <w:rPr>
          <w:rFonts w:hint="eastAsia" w:ascii="仿宋" w:hAnsi="仿宋" w:eastAsia="仿宋" w:cs="仿宋_GB2312"/>
          <w:sz w:val="32"/>
          <w:szCs w:val="32"/>
        </w:rPr>
        <w:t>万元，事业基金弥补收支差额</w:t>
      </w:r>
      <w:r>
        <w:rPr>
          <w:rFonts w:hint="eastAsia" w:ascii="仿宋" w:hAnsi="仿宋" w:eastAsia="仿宋" w:cs="仿宋_GB2312"/>
          <w:color w:val="333333"/>
          <w:sz w:val="32"/>
          <w:szCs w:val="32"/>
        </w:rPr>
        <w:t>0.00</w:t>
      </w:r>
      <w:r>
        <w:rPr>
          <w:rFonts w:hint="eastAsia" w:ascii="仿宋" w:hAnsi="仿宋" w:eastAsia="仿宋" w:cs="仿宋_GB2312"/>
          <w:sz w:val="32"/>
          <w:szCs w:val="32"/>
        </w:rPr>
        <w:t>万元，结余分配</w:t>
      </w:r>
      <w:r>
        <w:rPr>
          <w:rFonts w:hint="eastAsia" w:ascii="仿宋" w:hAnsi="仿宋" w:eastAsia="仿宋" w:cs="仿宋_GB2312"/>
          <w:color w:val="333333"/>
          <w:sz w:val="32"/>
          <w:szCs w:val="32"/>
        </w:rPr>
        <w:t>0.00</w:t>
      </w:r>
      <w:r>
        <w:rPr>
          <w:rFonts w:hint="eastAsia" w:ascii="仿宋" w:hAnsi="仿宋" w:eastAsia="仿宋" w:cs="仿宋_GB2312"/>
          <w:sz w:val="32"/>
          <w:szCs w:val="32"/>
        </w:rPr>
        <w:t>万元，年末结转和结余</w:t>
      </w:r>
      <w:r>
        <w:rPr>
          <w:rFonts w:hint="eastAsia" w:ascii="仿宋" w:hAnsi="仿宋" w:eastAsia="仿宋" w:cs="仿宋_GB2312"/>
          <w:color w:val="333333"/>
          <w:sz w:val="32"/>
          <w:szCs w:val="32"/>
        </w:rPr>
        <w:t>3,412.01</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pPr>
      <w:r>
        <w:rPr>
          <w:rFonts w:hint="eastAsia" w:ascii="仿宋" w:hAnsi="仿宋" w:eastAsia="仿宋" w:cs="仿宋_GB2312"/>
          <w:sz w:val="32"/>
          <w:szCs w:val="32"/>
        </w:rPr>
        <w:t>（一）2019年收入</w:t>
      </w:r>
      <w:r>
        <w:rPr>
          <w:rFonts w:hint="eastAsia" w:ascii="仿宋" w:hAnsi="仿宋" w:eastAsia="仿宋" w:cs="仿宋_GB2312"/>
          <w:color w:val="333333"/>
          <w:sz w:val="32"/>
          <w:szCs w:val="32"/>
        </w:rPr>
        <w:t>18,844.72</w:t>
      </w:r>
      <w:r>
        <w:rPr>
          <w:rFonts w:hint="eastAsia" w:ascii="仿宋" w:hAnsi="仿宋" w:eastAsia="仿宋" w:cs="仿宋_GB2312"/>
          <w:sz w:val="32"/>
          <w:szCs w:val="32"/>
        </w:rPr>
        <w:t>万元，比2018年决算数增加2166.7万元，增长12.99％</w:t>
      </w:r>
      <w:r>
        <w:rPr>
          <w:rFonts w:hint="eastAsia" w:ascii="仿宋" w:hAnsi="仿宋" w:eastAsia="仿宋"/>
          <w:sz w:val="32"/>
          <w:szCs w:val="32"/>
        </w:rPr>
        <w:t>，</w:t>
      </w:r>
      <w:r>
        <w:rPr>
          <w:rFonts w:hint="eastAsia" w:ascii="仿宋" w:hAnsi="仿宋" w:eastAsia="仿宋" w:cs="仿宋_GB2312"/>
          <w:sz w:val="32"/>
          <w:szCs w:val="32"/>
        </w:rPr>
        <w:t>具体情况如下：</w:t>
      </w:r>
    </w:p>
    <w:p>
      <w:pPr>
        <w:shd w:val="clear" w:color="auto" w:fill="FFFFFF"/>
        <w:autoSpaceDE w:val="0"/>
        <w:autoSpaceDN w:val="0"/>
        <w:adjustRightInd w:val="0"/>
        <w:spacing w:before="100" w:beforeAutospacing="1" w:after="100" w:afterAutospacing="1" w:line="600" w:lineRule="exact"/>
        <w:ind w:left="182" w:leftChars="76" w:firstLine="480" w:firstLineChars="150"/>
        <w:rPr>
          <w:rFonts w:ascii="仿宋" w:hAnsi="仿宋" w:eastAsia="仿宋" w:cs="仿宋_GB2312"/>
          <w:sz w:val="32"/>
          <w:szCs w:val="32"/>
        </w:rPr>
      </w:pPr>
      <w:r>
        <w:rPr>
          <w:rFonts w:hint="eastAsia" w:ascii="仿宋" w:hAnsi="仿宋" w:eastAsia="仿宋" w:cs="仿宋_GB2312"/>
          <w:sz w:val="32"/>
          <w:szCs w:val="32"/>
        </w:rPr>
        <w:t>1.一般公共预算财政拨款收入</w:t>
      </w:r>
      <w:r>
        <w:rPr>
          <w:rFonts w:hint="eastAsia" w:ascii="仿宋" w:hAnsi="仿宋" w:eastAsia="仿宋" w:cs="仿宋_GB2312"/>
          <w:color w:val="333333"/>
          <w:sz w:val="32"/>
          <w:szCs w:val="32"/>
        </w:rPr>
        <w:t>18,555.57</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left="182" w:leftChars="76" w:firstLine="480" w:firstLineChars="150"/>
        <w:rPr>
          <w:rFonts w:ascii="仿宋" w:hAnsi="仿宋" w:eastAsia="仿宋"/>
          <w:sz w:val="32"/>
          <w:szCs w:val="32"/>
        </w:rPr>
      </w:pPr>
      <w:r>
        <w:rPr>
          <w:rFonts w:hint="eastAsia" w:ascii="仿宋" w:hAnsi="仿宋" w:eastAsia="仿宋" w:cs="仿宋_GB2312"/>
          <w:sz w:val="32"/>
          <w:szCs w:val="32"/>
        </w:rPr>
        <w:t>2.政府性基金预算财政拨款收入</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3.事业收入</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4.经营收入</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5.</w:t>
      </w:r>
      <w:r>
        <w:rPr>
          <w:rFonts w:hint="eastAsia" w:ascii="仿宋" w:hAnsi="仿宋" w:eastAsia="仿宋"/>
          <w:sz w:val="32"/>
          <w:szCs w:val="32"/>
        </w:rPr>
        <w:t>上级补助收入</w:t>
      </w:r>
      <w:r>
        <w:rPr>
          <w:rFonts w:hint="eastAsia" w:ascii="仿宋" w:hAnsi="仿宋" w:eastAsia="仿宋" w:cs="仿宋_GB2312"/>
          <w:color w:val="333333"/>
          <w:sz w:val="32"/>
          <w:szCs w:val="32"/>
        </w:rPr>
        <w:t>0.00</w:t>
      </w:r>
      <w:r>
        <w:rPr>
          <w:rFonts w:hint="eastAsia" w:ascii="仿宋" w:hAnsi="仿宋" w:eastAsia="仿宋"/>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6.附属单位上缴收入</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7.其他收入</w:t>
      </w:r>
      <w:r>
        <w:rPr>
          <w:rFonts w:hint="eastAsia" w:ascii="仿宋" w:hAnsi="仿宋" w:eastAsia="仿宋" w:cs="仿宋_GB2312"/>
          <w:color w:val="333333"/>
          <w:sz w:val="32"/>
          <w:szCs w:val="32"/>
        </w:rPr>
        <w:t>289.15</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pPr>
      <w:r>
        <w:rPr>
          <w:rFonts w:hint="eastAsia" w:ascii="仿宋" w:hAnsi="仿宋" w:eastAsia="仿宋" w:cs="仿宋_GB2312"/>
          <w:sz w:val="32"/>
          <w:szCs w:val="32"/>
        </w:rPr>
        <w:t>（二）2019年支出</w:t>
      </w:r>
      <w:r>
        <w:rPr>
          <w:rFonts w:hint="eastAsia" w:ascii="仿宋" w:hAnsi="仿宋" w:eastAsia="仿宋" w:cs="仿宋_GB2312"/>
          <w:color w:val="333333"/>
          <w:sz w:val="32"/>
          <w:szCs w:val="32"/>
        </w:rPr>
        <w:t>16,878.71</w:t>
      </w:r>
      <w:r>
        <w:rPr>
          <w:rFonts w:hint="eastAsia" w:ascii="仿宋" w:hAnsi="仿宋" w:eastAsia="仿宋" w:cs="仿宋_GB2312"/>
          <w:sz w:val="32"/>
          <w:szCs w:val="32"/>
        </w:rPr>
        <w:t>万元，比2018年决算数减少182.41万元，降低1.08％</w:t>
      </w:r>
      <w:r>
        <w:rPr>
          <w:rFonts w:hint="eastAsia" w:ascii="仿宋" w:hAnsi="仿宋" w:eastAsia="仿宋"/>
          <w:sz w:val="32"/>
          <w:szCs w:val="32"/>
        </w:rPr>
        <w:t>，</w:t>
      </w:r>
      <w:r>
        <w:rPr>
          <w:rFonts w:hint="eastAsia" w:ascii="仿宋" w:hAnsi="仿宋" w:eastAsia="仿宋" w:cs="仿宋_GB2312"/>
          <w:sz w:val="32"/>
          <w:szCs w:val="32"/>
        </w:rPr>
        <w:t>具体情况如下：</w:t>
      </w:r>
    </w:p>
    <w:p>
      <w:pPr>
        <w:shd w:val="clear" w:color="auto" w:fill="FFFFFF"/>
        <w:tabs>
          <w:tab w:val="left" w:pos="7513"/>
        </w:tabs>
        <w:adjustRightInd w:val="0"/>
        <w:snapToGrid w:val="0"/>
        <w:spacing w:before="100" w:beforeAutospacing="1" w:after="100" w:afterAutospacing="1" w:line="600" w:lineRule="exact"/>
        <w:ind w:left="271" w:leftChars="113" w:firstLine="480" w:firstLineChars="150"/>
        <w:rPr>
          <w:rFonts w:ascii="仿宋" w:hAnsi="仿宋" w:eastAsia="仿宋"/>
          <w:sz w:val="32"/>
          <w:szCs w:val="32"/>
        </w:rPr>
      </w:pPr>
      <w:r>
        <w:rPr>
          <w:rFonts w:hint="eastAsia" w:ascii="仿宋" w:hAnsi="仿宋" w:eastAsia="仿宋" w:cs="仿宋_GB2312"/>
          <w:sz w:val="32"/>
          <w:szCs w:val="32"/>
        </w:rPr>
        <w:t>1.基本支出</w:t>
      </w:r>
      <w:r>
        <w:rPr>
          <w:rFonts w:hint="eastAsia" w:ascii="仿宋" w:hAnsi="仿宋" w:eastAsia="仿宋" w:cs="仿宋_GB2312"/>
          <w:color w:val="333333"/>
          <w:sz w:val="32"/>
          <w:szCs w:val="32"/>
        </w:rPr>
        <w:t>14,624.55</w:t>
      </w:r>
      <w:r>
        <w:rPr>
          <w:rFonts w:hint="eastAsia" w:ascii="仿宋" w:hAnsi="仿宋" w:eastAsia="仿宋" w:cs="仿宋_GB2312"/>
          <w:sz w:val="32"/>
          <w:szCs w:val="32"/>
        </w:rPr>
        <w:t>万元。其中，人员支出</w:t>
      </w:r>
      <w:r>
        <w:rPr>
          <w:rFonts w:hint="eastAsia" w:ascii="仿宋" w:hAnsi="仿宋" w:eastAsia="仿宋" w:cs="仿宋_GB2312"/>
          <w:color w:val="333333"/>
          <w:sz w:val="32"/>
          <w:szCs w:val="32"/>
        </w:rPr>
        <w:t>12,614.26</w:t>
      </w:r>
      <w:r>
        <w:rPr>
          <w:rFonts w:hint="eastAsia" w:ascii="仿宋" w:hAnsi="仿宋" w:eastAsia="仿宋" w:cs="仿宋_GB2312"/>
          <w:sz w:val="32"/>
          <w:szCs w:val="32"/>
        </w:rPr>
        <w:t>万元，公用支出</w:t>
      </w:r>
      <w:r>
        <w:rPr>
          <w:rFonts w:hint="eastAsia" w:ascii="仿宋" w:hAnsi="仿宋" w:eastAsia="仿宋" w:cs="仿宋_GB2312"/>
          <w:color w:val="333333"/>
          <w:sz w:val="32"/>
          <w:szCs w:val="32"/>
        </w:rPr>
        <w:t>2,010.29</w:t>
      </w:r>
      <w:r>
        <w:rPr>
          <w:rFonts w:hint="eastAsia" w:ascii="仿宋" w:hAnsi="仿宋" w:eastAsia="仿宋" w:cs="仿宋_GB2312"/>
          <w:sz w:val="32"/>
          <w:szCs w:val="32"/>
        </w:rPr>
        <w:t>万元。</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2.项目支出</w:t>
      </w:r>
      <w:r>
        <w:rPr>
          <w:rFonts w:hint="eastAsia" w:ascii="仿宋" w:hAnsi="仿宋" w:eastAsia="仿宋" w:cs="仿宋_GB2312"/>
          <w:color w:val="333333"/>
          <w:sz w:val="32"/>
          <w:szCs w:val="32"/>
        </w:rPr>
        <w:t>2,254.16</w:t>
      </w:r>
      <w:r>
        <w:rPr>
          <w:rFonts w:hint="eastAsia" w:ascii="仿宋" w:hAnsi="仿宋" w:eastAsia="仿宋" w:cs="仿宋_GB2312"/>
          <w:sz w:val="32"/>
          <w:szCs w:val="32"/>
        </w:rPr>
        <w:t>万元。</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3.上缴上级支出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4.经营支出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5.对附属单位补助支出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二、一般公共预算拨款支出决算情况说明</w:t>
      </w:r>
    </w:p>
    <w:p>
      <w:pPr>
        <w:shd w:val="clear" w:color="auto" w:fill="FFFFFF"/>
        <w:spacing w:before="100" w:beforeAutospacing="1" w:after="100" w:afterAutospacing="1" w:line="600" w:lineRule="exact"/>
        <w:ind w:firstLine="640" w:firstLineChars="200"/>
        <w:rPr>
          <w:rFonts w:ascii="仿宋" w:hAnsi="仿宋" w:eastAsia="仿宋"/>
          <w:sz w:val="32"/>
          <w:szCs w:val="32"/>
        </w:rPr>
      </w:pPr>
      <w:r>
        <w:rPr>
          <w:rFonts w:hint="eastAsia" w:ascii="仿宋" w:hAnsi="仿宋" w:eastAsia="仿宋" w:cs="仿宋_GB2312"/>
          <w:sz w:val="32"/>
          <w:szCs w:val="32"/>
        </w:rPr>
        <w:t>2019</w:t>
      </w:r>
      <w:r>
        <w:rPr>
          <w:rFonts w:hint="eastAsia" w:ascii="仿宋" w:hAnsi="仿宋" w:eastAsia="仿宋"/>
          <w:sz w:val="32"/>
          <w:szCs w:val="32"/>
        </w:rPr>
        <w:t>年一般公共预算拨款支出</w:t>
      </w:r>
      <w:r>
        <w:rPr>
          <w:rFonts w:hint="eastAsia" w:ascii="仿宋" w:hAnsi="仿宋" w:eastAsia="仿宋" w:cs="仿宋_GB2312"/>
          <w:color w:val="333333"/>
          <w:sz w:val="32"/>
          <w:szCs w:val="32"/>
        </w:rPr>
        <w:t>16,843.23</w:t>
      </w:r>
      <w:r>
        <w:rPr>
          <w:rFonts w:hint="eastAsia" w:ascii="仿宋" w:hAnsi="仿宋" w:eastAsia="仿宋"/>
          <w:sz w:val="32"/>
          <w:szCs w:val="32"/>
        </w:rPr>
        <w:t>万元，比上年决算数减少155.44万元，下降0.91%，具体情况如下：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（一）行政运行13323.47万元，较上年决算数增加279.9万元，增长2.15</w:t>
      </w:r>
      <w:r>
        <w:rPr>
          <w:rFonts w:ascii="仿宋" w:hAnsi="仿宋" w:eastAsia="仿宋"/>
          <w:sz w:val="32"/>
          <w:szCs w:val="32"/>
        </w:rPr>
        <w:t>%</w:t>
      </w:r>
      <w:r>
        <w:rPr>
          <w:rFonts w:hint="eastAsia" w:ascii="仿宋" w:hAnsi="仿宋" w:eastAsia="仿宋"/>
          <w:sz w:val="32"/>
          <w:szCs w:val="32"/>
        </w:rPr>
        <w:t>。主要原因是人员工资、奖金、物业费、非编人员工资增加及新增聘用制书记员经费。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（二）一般行政管理事务433.17万元，较上年决算数减少683.61万元，下降61.21</w:t>
      </w:r>
      <w:r>
        <w:rPr>
          <w:rFonts w:ascii="仿宋" w:hAnsi="仿宋" w:eastAsia="仿宋"/>
          <w:sz w:val="32"/>
          <w:szCs w:val="32"/>
        </w:rPr>
        <w:t>%</w:t>
      </w:r>
      <w:r>
        <w:rPr>
          <w:rFonts w:hint="eastAsia" w:ascii="仿宋" w:hAnsi="仿宋" w:eastAsia="仿宋"/>
          <w:sz w:val="32"/>
          <w:szCs w:val="32"/>
        </w:rPr>
        <w:t>。主要原因是信息化项目2018年已完成。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（三）案件审判1449.24万元，较上年决算数增加670.57万元，增长86.11</w:t>
      </w:r>
      <w:r>
        <w:rPr>
          <w:rFonts w:ascii="仿宋" w:hAnsi="仿宋" w:eastAsia="仿宋"/>
          <w:sz w:val="32"/>
          <w:szCs w:val="32"/>
        </w:rPr>
        <w:t>%</w:t>
      </w:r>
      <w:r>
        <w:rPr>
          <w:rFonts w:hint="eastAsia" w:ascii="仿宋" w:hAnsi="仿宋" w:eastAsia="仿宋"/>
          <w:sz w:val="32"/>
          <w:szCs w:val="32"/>
        </w:rPr>
        <w:t>。主要原因是增加司法辅助事务服务经费、12368诉讼服务热线辅助外包项目经费、</w:t>
      </w:r>
      <w:r>
        <w:rPr>
          <w:rFonts w:ascii="仿宋" w:hAnsi="仿宋" w:eastAsia="仿宋"/>
          <w:sz w:val="32"/>
          <w:szCs w:val="32"/>
        </w:rPr>
        <w:t>司法宣传教育基地装修改造</w:t>
      </w:r>
      <w:r>
        <w:rPr>
          <w:rFonts w:hint="eastAsia" w:ascii="仿宋" w:hAnsi="仿宋" w:eastAsia="仿宋"/>
          <w:sz w:val="32"/>
          <w:szCs w:val="32"/>
        </w:rPr>
        <w:t>经项目经费、执行庭审网络直播项目经费、审判办案业务费等支出。</w:t>
      </w:r>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（四）案件执行66.04万元，较上年决算数减少337.82万元，下降83.65</w:t>
      </w:r>
      <w:r>
        <w:rPr>
          <w:rFonts w:ascii="仿宋" w:hAnsi="仿宋" w:eastAsia="仿宋"/>
          <w:sz w:val="32"/>
          <w:szCs w:val="32"/>
        </w:rPr>
        <w:t>%</w:t>
      </w:r>
      <w:r>
        <w:rPr>
          <w:rFonts w:hint="eastAsia" w:ascii="仿宋" w:hAnsi="仿宋" w:eastAsia="仿宋"/>
          <w:sz w:val="32"/>
          <w:szCs w:val="32"/>
        </w:rPr>
        <w:t>。主要原因是执行指挥中心</w:t>
      </w:r>
      <w:r>
        <w:rPr>
          <w:rFonts w:hint="eastAsia" w:ascii="仿宋" w:hAnsi="仿宋" w:eastAsia="仿宋"/>
          <w:color w:val="000000"/>
          <w:sz w:val="32"/>
          <w:szCs w:val="32"/>
        </w:rPr>
        <w:t>场所与设备配置项目已于2018年完成。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（五）其他法院支出85.97万元，较上年决算数增加23.17万元，增加36.89</w:t>
      </w:r>
      <w:r>
        <w:rPr>
          <w:rFonts w:ascii="仿宋" w:hAnsi="仿宋" w:eastAsia="仿宋"/>
          <w:color w:val="000000"/>
          <w:sz w:val="32"/>
          <w:szCs w:val="32"/>
        </w:rPr>
        <w:t>%</w:t>
      </w:r>
      <w:r>
        <w:rPr>
          <w:rFonts w:hint="eastAsia" w:ascii="仿宋" w:hAnsi="仿宋" w:eastAsia="仿宋"/>
          <w:color w:val="000000"/>
          <w:sz w:val="32"/>
          <w:szCs w:val="32"/>
        </w:rPr>
        <w:t>。主要原因是增加智慧执行综合平台项目经费支出。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（六）其他科技条件与服务支出219.73万元，较上年决算数增加70.85万元，增加47.59</w:t>
      </w:r>
      <w:r>
        <w:rPr>
          <w:rFonts w:ascii="仿宋" w:hAnsi="仿宋" w:eastAsia="仿宋"/>
          <w:color w:val="000000"/>
          <w:sz w:val="32"/>
          <w:szCs w:val="32"/>
        </w:rPr>
        <w:t>%</w:t>
      </w:r>
      <w:r>
        <w:rPr>
          <w:rFonts w:hint="eastAsia" w:ascii="仿宋" w:hAnsi="仿宋" w:eastAsia="仿宋"/>
          <w:color w:val="000000"/>
          <w:sz w:val="32"/>
          <w:szCs w:val="32"/>
        </w:rPr>
        <w:t>。主要原因是增加司法审判大数据智能服务平台对接改造项目经费支出。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（七）归口管理的行政单位离退休475.54万元，较上年决算数减少88.3万元，减少15.66</w:t>
      </w:r>
      <w:r>
        <w:rPr>
          <w:rFonts w:ascii="仿宋" w:hAnsi="仿宋" w:eastAsia="仿宋"/>
          <w:color w:val="000000"/>
          <w:sz w:val="32"/>
          <w:szCs w:val="32"/>
        </w:rPr>
        <w:t>%</w:t>
      </w:r>
      <w:r>
        <w:rPr>
          <w:rFonts w:hint="eastAsia" w:ascii="仿宋" w:hAnsi="仿宋" w:eastAsia="仿宋"/>
          <w:color w:val="000000"/>
          <w:sz w:val="32"/>
          <w:szCs w:val="32"/>
        </w:rPr>
        <w:t>。主要原因是离休人员减少。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（八）机关事业单位基本养老保险缴费支出511.83万元，较上年决算数减少57.91万元，减少10.27%。主要原因是机关事业单位基本养老保险缴费基数调整。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（九）行政单位医疗216.01万元，较上年决算数增加0.36万元，增加0.17</w:t>
      </w:r>
      <w:r>
        <w:rPr>
          <w:rFonts w:ascii="仿宋" w:hAnsi="仿宋" w:eastAsia="仿宋"/>
          <w:color w:val="000000"/>
          <w:sz w:val="32"/>
          <w:szCs w:val="32"/>
        </w:rPr>
        <w:t>%</w:t>
      </w:r>
      <w:r>
        <w:rPr>
          <w:rFonts w:hint="eastAsia" w:ascii="仿宋" w:hAnsi="仿宋" w:eastAsia="仿宋"/>
          <w:color w:val="000000"/>
          <w:sz w:val="32"/>
          <w:szCs w:val="32"/>
        </w:rPr>
        <w:t>。主要原因是医疗经费基数调整。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（十）公务员医疗补助97.7万元，较上年决算数增加2.82万元，增加2.97</w:t>
      </w:r>
      <w:r>
        <w:rPr>
          <w:rFonts w:ascii="仿宋" w:hAnsi="仿宋" w:eastAsia="仿宋"/>
          <w:color w:val="000000"/>
          <w:sz w:val="32"/>
          <w:szCs w:val="32"/>
        </w:rPr>
        <w:t>%</w:t>
      </w:r>
      <w:r>
        <w:rPr>
          <w:rFonts w:hint="eastAsia" w:ascii="仿宋" w:hAnsi="仿宋" w:eastAsia="仿宋"/>
          <w:color w:val="000000"/>
          <w:sz w:val="32"/>
          <w:szCs w:val="32"/>
        </w:rPr>
        <w:t>。主要原因是医疗补助经费基数调整。</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三、政府性基金支出决算情况说明</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楷体" w:hAnsi="楷体" w:eastAsia="楷体"/>
          <w:sz w:val="32"/>
          <w:szCs w:val="32"/>
        </w:rPr>
      </w:pPr>
      <w:r>
        <w:rPr>
          <w:rFonts w:hint="eastAsia" w:ascii="楷体" w:hAnsi="楷体" w:eastAsia="楷体" w:cs="仿宋_GB2312"/>
          <w:sz w:val="32"/>
          <w:szCs w:val="32"/>
        </w:rPr>
        <w:t>本单位2019年度没有使用政府性基金预算拨款安排的支出。</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四、一般公共预算财政拨款基本支出决算情况说明</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color w:val="333333"/>
          <w:sz w:val="32"/>
          <w:szCs w:val="32"/>
        </w:rPr>
        <w:t>14,624.55</w:t>
      </w:r>
      <w:r>
        <w:rPr>
          <w:rFonts w:hint="eastAsia" w:ascii="仿宋" w:hAnsi="仿宋" w:eastAsia="仿宋" w:cs="仿宋_GB2312"/>
          <w:sz w:val="32"/>
          <w:szCs w:val="32"/>
        </w:rPr>
        <w:t>万元，其中：</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color w:val="333333"/>
          <w:sz w:val="32"/>
          <w:szCs w:val="32"/>
        </w:rPr>
        <w:t>12,614.26</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color w:val="333333"/>
          <w:sz w:val="32"/>
          <w:szCs w:val="32"/>
        </w:rPr>
        <w:t>2,010.30</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pPr>
        <w:shd w:val="clear" w:color="auto" w:fill="FFFFFF"/>
        <w:tabs>
          <w:tab w:val="left" w:pos="7513"/>
        </w:tabs>
        <w:adjustRightInd w:val="0"/>
        <w:snapToGrid w:val="0"/>
        <w:spacing w:before="100" w:beforeAutospacing="1" w:after="100" w:afterAutospacing="1"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2019年度“三公”经费财政拨款支出</w:t>
      </w:r>
      <w:r>
        <w:rPr>
          <w:rFonts w:hint="eastAsia" w:ascii="仿宋" w:hAnsi="仿宋" w:eastAsia="仿宋" w:cs="仿宋_GB2312"/>
          <w:color w:val="333333"/>
          <w:sz w:val="32"/>
          <w:szCs w:val="32"/>
        </w:rPr>
        <w:t>77.63</w:t>
      </w:r>
      <w:r>
        <w:rPr>
          <w:rFonts w:hint="eastAsia" w:ascii="仿宋" w:hAnsi="仿宋" w:eastAsia="仿宋" w:cs="仿宋_GB2312"/>
          <w:sz w:val="32"/>
          <w:szCs w:val="32"/>
        </w:rPr>
        <w:t>万元，比年初预算的139.33万元下降44.28%。主要原因是严格控制三公经费开支。具体情况如下：</w:t>
      </w:r>
      <w:r>
        <w:rPr>
          <w:rFonts w:hint="eastAsia" w:ascii="仿宋" w:hAnsi="仿宋" w:eastAsia="仿宋" w:cs="仿宋_GB2312"/>
          <w:sz w:val="32"/>
          <w:szCs w:val="32"/>
        </w:rPr>
        <w:br/>
      </w:r>
      <w:r>
        <w:rPr>
          <w:rFonts w:hint="eastAsia" w:ascii="仿宋" w:hAnsi="仿宋" w:eastAsia="仿宋" w:cs="仿宋_GB2312"/>
          <w:sz w:val="32"/>
          <w:szCs w:val="32"/>
        </w:rPr>
        <w:t>　　（一）因公出国（境）费支出</w:t>
      </w:r>
      <w:r>
        <w:rPr>
          <w:rFonts w:hint="eastAsia" w:ascii="仿宋" w:hAnsi="仿宋" w:eastAsia="仿宋" w:cs="仿宋_GB2312"/>
          <w:color w:val="333333"/>
          <w:sz w:val="32"/>
          <w:szCs w:val="32"/>
        </w:rPr>
        <w:t>17.75</w:t>
      </w:r>
      <w:r>
        <w:rPr>
          <w:rFonts w:hint="eastAsia" w:ascii="仿宋" w:hAnsi="仿宋" w:eastAsia="仿宋" w:cs="仿宋_GB2312"/>
          <w:sz w:val="32"/>
          <w:szCs w:val="32"/>
        </w:rPr>
        <w:t>万元，比年初预算的17.83万元下降0.45%。全年安排本部门组织的出国团组</w:t>
      </w:r>
      <w:r>
        <w:rPr>
          <w:rFonts w:hint="eastAsia" w:ascii="仿宋" w:hAnsi="仿宋" w:eastAsia="仿宋" w:cs="仿宋_GB2312"/>
          <w:color w:val="333333"/>
          <w:sz w:val="32"/>
          <w:szCs w:val="32"/>
        </w:rPr>
        <w:t>1</w:t>
      </w:r>
      <w:r>
        <w:rPr>
          <w:rFonts w:hint="eastAsia" w:ascii="仿宋" w:hAnsi="仿宋" w:eastAsia="仿宋" w:cs="仿宋_GB2312"/>
          <w:sz w:val="32"/>
          <w:szCs w:val="32"/>
        </w:rPr>
        <w:t>个，参加其他部门出国团组0个；全年因公出国（境）累计</w:t>
      </w:r>
      <w:r>
        <w:rPr>
          <w:rFonts w:hint="eastAsia" w:ascii="仿宋" w:hAnsi="仿宋" w:eastAsia="仿宋" w:cs="仿宋_GB2312"/>
          <w:color w:val="333333"/>
          <w:sz w:val="32"/>
          <w:szCs w:val="32"/>
        </w:rPr>
        <w:t>4</w:t>
      </w:r>
      <w:r>
        <w:rPr>
          <w:rFonts w:hint="eastAsia" w:ascii="仿宋" w:hAnsi="仿宋" w:eastAsia="仿宋" w:cs="仿宋_GB2312"/>
          <w:sz w:val="32"/>
          <w:szCs w:val="32"/>
        </w:rPr>
        <w:t>人次。主要是根据外办安排与单位学习需求，出国进行学习交流。</w:t>
      </w:r>
    </w:p>
    <w:p>
      <w:pPr>
        <w:shd w:val="clear" w:color="auto" w:fill="FFFFFF"/>
        <w:tabs>
          <w:tab w:val="left" w:pos="7513"/>
        </w:tabs>
        <w:adjustRightInd w:val="0"/>
        <w:snapToGrid w:val="0"/>
        <w:spacing w:before="100" w:beforeAutospacing="1" w:after="100" w:afterAutospacing="1" w:line="600" w:lineRule="exact"/>
        <w:ind w:firstLine="645"/>
        <w:rPr>
          <w:rFonts w:ascii="仿宋" w:hAnsi="仿宋" w:eastAsia="仿宋" w:cs="仿宋_GB2312"/>
          <w:sz w:val="32"/>
          <w:szCs w:val="32"/>
        </w:rPr>
      </w:pPr>
      <w:r>
        <w:rPr>
          <w:rFonts w:hint="eastAsia" w:ascii="仿宋" w:hAnsi="仿宋" w:eastAsia="仿宋" w:cs="仿宋_GB2312"/>
          <w:sz w:val="32"/>
          <w:szCs w:val="32"/>
        </w:rPr>
        <w:t>（二）公务用车购置及运维费支出</w:t>
      </w:r>
      <w:r>
        <w:rPr>
          <w:rFonts w:hint="eastAsia" w:ascii="仿宋" w:hAnsi="仿宋" w:eastAsia="仿宋" w:cs="仿宋_GB2312"/>
          <w:color w:val="333333"/>
          <w:sz w:val="32"/>
          <w:szCs w:val="32"/>
        </w:rPr>
        <w:t>40.87</w:t>
      </w:r>
      <w:r>
        <w:rPr>
          <w:rFonts w:hint="eastAsia" w:ascii="仿宋" w:hAnsi="仿宋" w:eastAsia="仿宋" w:cs="仿宋_GB2312"/>
          <w:sz w:val="32"/>
          <w:szCs w:val="32"/>
        </w:rPr>
        <w:t>万元，比年初预算的91.5万元下降55.33%，主要是</w:t>
      </w:r>
      <w:r>
        <w:rPr>
          <w:rFonts w:hint="eastAsia" w:ascii="仿宋_GB2312" w:hAnsi="仿宋" w:eastAsia="仿宋_GB2312" w:cs="仿宋_GB2312"/>
          <w:color w:val="000000"/>
          <w:sz w:val="32"/>
          <w:szCs w:val="32"/>
        </w:rPr>
        <w:t>优化公车资源配置，提高车辆利用率</w:t>
      </w:r>
      <w:r>
        <w:rPr>
          <w:rFonts w:hint="eastAsia" w:ascii="仿宋_GB2312" w:hAnsi="仿宋" w:eastAsia="仿宋_GB2312"/>
          <w:color w:val="000000"/>
          <w:sz w:val="32"/>
          <w:szCs w:val="32"/>
        </w:rPr>
        <w:t>。</w:t>
      </w:r>
      <w:r>
        <w:rPr>
          <w:rFonts w:hint="eastAsia" w:ascii="仿宋" w:hAnsi="仿宋" w:eastAsia="仿宋" w:cs="仿宋_GB2312"/>
          <w:sz w:val="32"/>
          <w:szCs w:val="32"/>
        </w:rPr>
        <w:t>其中：</w:t>
      </w:r>
    </w:p>
    <w:p>
      <w:pPr>
        <w:shd w:val="clear" w:color="auto" w:fill="FFFFFF"/>
        <w:tabs>
          <w:tab w:val="left" w:pos="7513"/>
        </w:tabs>
        <w:adjustRightInd w:val="0"/>
        <w:snapToGrid w:val="0"/>
        <w:spacing w:before="100" w:beforeAutospacing="1" w:after="100" w:afterAutospacing="1"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公务用车购置费支出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万元，与年初预算的0.00万元相比无变化。 2019年公务用车购置</w:t>
      </w:r>
      <w:r>
        <w:rPr>
          <w:rFonts w:hint="eastAsia" w:ascii="仿宋" w:hAnsi="仿宋" w:eastAsia="仿宋" w:cs="仿宋_GB2312"/>
          <w:color w:val="333333"/>
          <w:sz w:val="32"/>
          <w:szCs w:val="32"/>
        </w:rPr>
        <w:t>0</w:t>
      </w:r>
      <w:r>
        <w:rPr>
          <w:rFonts w:hint="eastAsia" w:ascii="仿宋" w:hAnsi="仿宋" w:eastAsia="仿宋" w:cs="仿宋_GB2312"/>
          <w:sz w:val="32"/>
          <w:szCs w:val="32"/>
        </w:rPr>
        <w:t>辆。</w:t>
      </w:r>
    </w:p>
    <w:p>
      <w:pPr>
        <w:shd w:val="clear" w:color="auto" w:fill="FFFFFF"/>
        <w:tabs>
          <w:tab w:val="left" w:pos="7513"/>
        </w:tabs>
        <w:adjustRightInd w:val="0"/>
        <w:snapToGrid w:val="0"/>
        <w:spacing w:before="100" w:beforeAutospacing="1" w:after="100" w:afterAutospacing="1"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公务用车运维费支出</w:t>
      </w:r>
      <w:r>
        <w:rPr>
          <w:rFonts w:hint="eastAsia" w:ascii="仿宋" w:hAnsi="仿宋" w:eastAsia="仿宋" w:cs="仿宋_GB2312"/>
          <w:color w:val="333333"/>
          <w:sz w:val="32"/>
          <w:szCs w:val="32"/>
        </w:rPr>
        <w:t>40.87</w:t>
      </w:r>
      <w:r>
        <w:rPr>
          <w:rFonts w:hint="eastAsia" w:ascii="仿宋" w:hAnsi="仿宋" w:eastAsia="仿宋" w:cs="仿宋_GB2312"/>
          <w:sz w:val="32"/>
          <w:szCs w:val="32"/>
        </w:rPr>
        <w:t>万元，比年初预算的91.5万元下降55.33%，主要是</w:t>
      </w:r>
      <w:r>
        <w:rPr>
          <w:rFonts w:hint="eastAsia" w:ascii="仿宋_GB2312" w:hAnsi="仿宋" w:eastAsia="仿宋_GB2312" w:cs="仿宋_GB2312"/>
          <w:color w:val="000000"/>
          <w:sz w:val="32"/>
          <w:szCs w:val="32"/>
        </w:rPr>
        <w:t>优化公车资源配置，提高车辆利用率</w:t>
      </w:r>
      <w:r>
        <w:rPr>
          <w:rFonts w:hint="eastAsia" w:ascii="仿宋" w:hAnsi="仿宋" w:eastAsia="仿宋" w:cs="仿宋_GB2312"/>
          <w:sz w:val="32"/>
          <w:szCs w:val="32"/>
        </w:rPr>
        <w:t>。截至2019年12月31日，本部门公务用车保有量为</w:t>
      </w:r>
      <w:r>
        <w:rPr>
          <w:rFonts w:hint="eastAsia" w:ascii="仿宋" w:hAnsi="仿宋" w:eastAsia="仿宋" w:cs="仿宋_GB2312"/>
          <w:color w:val="333333"/>
          <w:sz w:val="32"/>
          <w:szCs w:val="32"/>
        </w:rPr>
        <w:t>26</w:t>
      </w:r>
      <w:r>
        <w:rPr>
          <w:rFonts w:hint="eastAsia" w:ascii="仿宋" w:hAnsi="仿宋" w:eastAsia="仿宋" w:cs="仿宋_GB2312"/>
          <w:sz w:val="32"/>
          <w:szCs w:val="32"/>
        </w:rPr>
        <w:t>辆。</w:t>
      </w:r>
    </w:p>
    <w:p>
      <w:pPr>
        <w:tabs>
          <w:tab w:val="left" w:pos="7513"/>
        </w:tabs>
        <w:adjustRightInd w:val="0"/>
        <w:snapToGrid w:val="0"/>
        <w:spacing w:line="560" w:lineRule="exact"/>
        <w:ind w:firstLine="640" w:firstLineChars="200"/>
        <w:rPr>
          <w:rFonts w:ascii="仿宋_GB2312" w:hAnsi="仿宋" w:eastAsia="仿宋_GB2312" w:cs="仿宋_GB2312"/>
          <w:color w:val="000000"/>
          <w:sz w:val="32"/>
          <w:szCs w:val="32"/>
        </w:rPr>
      </w:pPr>
      <w:r>
        <w:rPr>
          <w:rFonts w:hint="eastAsia" w:ascii="仿宋" w:hAnsi="仿宋" w:eastAsia="仿宋" w:cs="仿宋_GB2312"/>
          <w:sz w:val="32"/>
          <w:szCs w:val="32"/>
        </w:rPr>
        <w:t>（三）公务接待费支出</w:t>
      </w:r>
      <w:r>
        <w:rPr>
          <w:rFonts w:hint="eastAsia" w:ascii="仿宋" w:hAnsi="仿宋" w:eastAsia="仿宋" w:cs="仿宋_GB2312"/>
          <w:color w:val="333333"/>
          <w:sz w:val="32"/>
          <w:szCs w:val="32"/>
        </w:rPr>
        <w:t>19.01</w:t>
      </w:r>
      <w:r>
        <w:rPr>
          <w:rFonts w:hint="eastAsia" w:ascii="仿宋" w:hAnsi="仿宋" w:eastAsia="仿宋" w:cs="仿宋_GB2312"/>
          <w:sz w:val="32"/>
          <w:szCs w:val="32"/>
        </w:rPr>
        <w:t>万元，比年初预算的30万元下降36.63%。主要是</w:t>
      </w:r>
      <w:r>
        <w:rPr>
          <w:rFonts w:hint="eastAsia" w:ascii="仿宋_GB2312" w:hAnsi="仿宋" w:eastAsia="仿宋_GB2312" w:cs="仿宋_GB2312"/>
          <w:color w:val="000000"/>
          <w:sz w:val="32"/>
          <w:szCs w:val="32"/>
        </w:rPr>
        <w:t>严格遵守八项规定，把控接待对象和范围，进一步规范公务接待管理。</w:t>
      </w:r>
      <w:r>
        <w:rPr>
          <w:rFonts w:hint="eastAsia" w:ascii="仿宋" w:hAnsi="仿宋" w:eastAsia="仿宋" w:cs="仿宋_GB2312"/>
          <w:sz w:val="32"/>
          <w:szCs w:val="32"/>
        </w:rPr>
        <w:t>累计接待</w:t>
      </w:r>
      <w:r>
        <w:rPr>
          <w:rFonts w:hint="eastAsia" w:ascii="仿宋" w:hAnsi="仿宋" w:eastAsia="仿宋" w:cs="仿宋_GB2312"/>
          <w:color w:val="333333"/>
          <w:sz w:val="32"/>
          <w:szCs w:val="32"/>
        </w:rPr>
        <w:t>137</w:t>
      </w:r>
      <w:r>
        <w:rPr>
          <w:rFonts w:hint="eastAsia" w:ascii="仿宋" w:hAnsi="仿宋" w:eastAsia="仿宋" w:cs="仿宋_GB2312"/>
          <w:sz w:val="32"/>
          <w:szCs w:val="32"/>
        </w:rPr>
        <w:t>批次、</w:t>
      </w:r>
      <w:r>
        <w:rPr>
          <w:rFonts w:hint="eastAsia" w:ascii="仿宋" w:hAnsi="仿宋" w:eastAsia="仿宋" w:cs="仿宋_GB2312"/>
          <w:color w:val="333333"/>
          <w:sz w:val="32"/>
          <w:szCs w:val="32"/>
        </w:rPr>
        <w:t>1,177</w:t>
      </w:r>
      <w:r>
        <w:rPr>
          <w:rFonts w:hint="eastAsia" w:ascii="仿宋" w:hAnsi="仿宋" w:eastAsia="仿宋" w:cs="仿宋_GB2312"/>
          <w:sz w:val="32"/>
          <w:szCs w:val="32"/>
        </w:rPr>
        <w:t>人次。</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六、预算绩效情况说明</w:t>
      </w:r>
    </w:p>
    <w:p>
      <w:pPr>
        <w:shd w:val="clear" w:color="auto" w:fill="FFFFFF"/>
        <w:spacing w:before="100" w:beforeAutospacing="1" w:after="100" w:afterAutospacing="1"/>
        <w:ind w:firstLine="643" w:firstLineChars="200"/>
        <w:rPr>
          <w:rFonts w:ascii="楷体" w:hAnsi="楷体" w:eastAsia="楷体"/>
          <w:b/>
          <w:sz w:val="32"/>
          <w:szCs w:val="32"/>
        </w:rPr>
      </w:pPr>
      <w:r>
        <w:rPr>
          <w:rFonts w:hint="eastAsia" w:ascii="楷体" w:hAnsi="楷体" w:eastAsia="楷体"/>
          <w:b/>
          <w:sz w:val="32"/>
          <w:szCs w:val="32"/>
        </w:rPr>
        <w:t>（一）绩效管理工作开展情况</w:t>
      </w:r>
    </w:p>
    <w:p>
      <w:pPr>
        <w:shd w:val="clear" w:color="auto" w:fill="FFFFFF"/>
        <w:spacing w:before="100" w:beforeAutospacing="1" w:after="100" w:afterAutospacing="1"/>
        <w:ind w:firstLine="640" w:firstLineChars="200"/>
        <w:rPr>
          <w:rFonts w:ascii="仿宋" w:hAnsi="仿宋" w:eastAsia="仿宋"/>
          <w:sz w:val="32"/>
          <w:szCs w:val="32"/>
        </w:rPr>
      </w:pPr>
      <w:r>
        <w:rPr>
          <w:rFonts w:hint="eastAsia" w:ascii="仿宋" w:hAnsi="仿宋" w:eastAsia="仿宋"/>
          <w:sz w:val="32"/>
          <w:szCs w:val="32"/>
        </w:rPr>
        <w:t>根据预算绩效管理要求，共对2019年1个清单项目实施绩效监控，为国家司法救助金，涉及财政拨款资金140万元。同时，对2019年1655.25万元业务费实施绩效监控。</w:t>
      </w:r>
    </w:p>
    <w:p>
      <w:pPr>
        <w:shd w:val="clear" w:color="auto" w:fill="FFFFFF"/>
        <w:spacing w:before="100" w:beforeAutospacing="1" w:after="100" w:afterAutospacing="1"/>
        <w:ind w:firstLine="643" w:firstLineChars="200"/>
        <w:rPr>
          <w:rFonts w:ascii="仿宋" w:hAnsi="仿宋" w:eastAsia="仿宋"/>
          <w:b/>
          <w:sz w:val="32"/>
          <w:szCs w:val="32"/>
        </w:rPr>
      </w:pPr>
      <w:r>
        <w:rPr>
          <w:rFonts w:hint="eastAsia" w:ascii="仿宋" w:hAnsi="仿宋" w:eastAsia="仿宋"/>
          <w:b/>
          <w:sz w:val="32"/>
          <w:szCs w:val="32"/>
        </w:rPr>
        <w:t>（二）绩效自评工作开展情况</w:t>
      </w:r>
    </w:p>
    <w:p>
      <w:pPr>
        <w:shd w:val="clear" w:color="auto" w:fill="FFFFFF"/>
        <w:spacing w:before="100" w:beforeAutospacing="1" w:after="100" w:afterAutospacing="1"/>
        <w:ind w:firstLine="640" w:firstLineChars="200"/>
        <w:rPr>
          <w:rFonts w:ascii="仿宋" w:hAnsi="仿宋" w:eastAsia="仿宋"/>
          <w:sz w:val="32"/>
          <w:szCs w:val="32"/>
        </w:rPr>
      </w:pPr>
      <w:r>
        <w:rPr>
          <w:rFonts w:hint="eastAsia" w:ascii="仿宋" w:hAnsi="仿宋" w:eastAsia="仿宋"/>
          <w:sz w:val="32"/>
          <w:szCs w:val="32"/>
        </w:rPr>
        <w:t>共对2019年度2个部门业务费开展绩效自评，涉及财政拨款资金共计1655.25万元。根据年初设定的绩效目标，本年度绩效自评主要采取“对标评价”的方式展开，自评结果等次为“优”的项目2个，分别是审判办案业务费与法院业务装备经费。</w:t>
      </w:r>
    </w:p>
    <w:p>
      <w:pPr>
        <w:shd w:val="clear" w:color="auto" w:fill="FFFFFF"/>
        <w:spacing w:before="100" w:beforeAutospacing="1" w:after="100" w:afterAutospacing="1"/>
        <w:ind w:firstLine="640" w:firstLineChars="200"/>
        <w:rPr>
          <w:rFonts w:ascii="仿宋" w:hAnsi="仿宋" w:eastAsia="仿宋"/>
          <w:sz w:val="32"/>
          <w:szCs w:val="32"/>
        </w:rPr>
      </w:pPr>
      <w:r>
        <w:rPr>
          <w:rFonts w:hint="eastAsia" w:ascii="仿宋" w:hAnsi="仿宋" w:eastAsia="仿宋"/>
          <w:sz w:val="32"/>
          <w:szCs w:val="32"/>
        </w:rPr>
        <w:t>共对2019年度1个部门共计1个清单项目实施绩效自评，涉及财政拨款资金共计140万元。评价结果为“优”的项目是1个，为国家司法救助金。</w:t>
      </w:r>
    </w:p>
    <w:p>
      <w:pPr>
        <w:shd w:val="clear" w:color="auto" w:fill="FFFFFF"/>
        <w:spacing w:before="100" w:beforeAutospacing="1" w:after="100" w:afterAutospacing="1"/>
        <w:ind w:firstLine="643" w:firstLineChars="200"/>
        <w:rPr>
          <w:rFonts w:ascii="仿宋" w:hAnsi="仿宋" w:eastAsia="仿宋"/>
          <w:b/>
          <w:sz w:val="32"/>
          <w:szCs w:val="32"/>
        </w:rPr>
      </w:pPr>
      <w:r>
        <w:rPr>
          <w:rFonts w:hint="eastAsia" w:ascii="仿宋" w:hAnsi="仿宋" w:eastAsia="仿宋"/>
          <w:b/>
          <w:sz w:val="32"/>
          <w:szCs w:val="32"/>
        </w:rPr>
        <w:t>（三）重点评价工作开展情况</w:t>
      </w:r>
    </w:p>
    <w:p>
      <w:pPr>
        <w:shd w:val="clear" w:color="auto" w:fill="FFFFFF"/>
        <w:tabs>
          <w:tab w:val="left" w:pos="7513"/>
        </w:tabs>
        <w:adjustRightInd w:val="0"/>
        <w:snapToGrid w:val="0"/>
        <w:spacing w:before="100" w:beforeAutospacing="1" w:after="100" w:afterAutospacing="1" w:line="600" w:lineRule="exact"/>
        <w:ind w:firstLine="704" w:firstLineChars="220"/>
        <w:rPr>
          <w:rFonts w:ascii="仿宋" w:hAnsi="仿宋" w:eastAsia="仿宋" w:cs="仿宋_GB2312"/>
          <w:sz w:val="32"/>
          <w:szCs w:val="32"/>
        </w:rPr>
      </w:pPr>
      <w:r>
        <w:rPr>
          <w:rFonts w:hint="eastAsia" w:ascii="仿宋" w:hAnsi="仿宋" w:eastAsia="仿宋"/>
          <w:sz w:val="32"/>
          <w:szCs w:val="32"/>
        </w:rPr>
        <w:t>共对2019年度共计0个清单项目实施财政重点评价，涉及财政拨款资金共计0万元。</w:t>
      </w:r>
    </w:p>
    <w:p>
      <w:pPr>
        <w:shd w:val="clear" w:color="auto" w:fill="FFFFFF"/>
        <w:tabs>
          <w:tab w:val="left" w:pos="7513"/>
        </w:tabs>
        <w:adjustRightInd w:val="0"/>
        <w:snapToGrid w:val="0"/>
        <w:spacing w:before="100" w:beforeAutospacing="1" w:after="100" w:afterAutospacing="1" w:line="600" w:lineRule="exact"/>
        <w:ind w:firstLine="640" w:firstLineChars="200"/>
        <w:rPr>
          <w:rFonts w:ascii="黑体" w:hAnsi="黑体" w:eastAsia="黑体"/>
          <w:sz w:val="32"/>
          <w:szCs w:val="32"/>
        </w:rPr>
      </w:pPr>
      <w:r>
        <w:rPr>
          <w:rFonts w:hint="eastAsia" w:ascii="黑体" w:hAnsi="黑体" w:eastAsia="黑体"/>
          <w:sz w:val="32"/>
          <w:szCs w:val="32"/>
        </w:rPr>
        <w:t>七、其他重要事项说明</w:t>
      </w:r>
    </w:p>
    <w:p>
      <w:pPr>
        <w:shd w:val="clear" w:color="auto" w:fill="FFFFFF"/>
        <w:tabs>
          <w:tab w:val="left" w:pos="7513"/>
        </w:tabs>
        <w:adjustRightInd w:val="0"/>
        <w:snapToGrid w:val="0"/>
        <w:spacing w:before="100" w:beforeAutospacing="1" w:after="100" w:afterAutospacing="1"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hint="eastAsia" w:ascii="黑体" w:hAnsi="黑体" w:eastAsia="黑体" w:cs="仿宋_GB2312"/>
          <w:bCs/>
          <w:sz w:val="32"/>
          <w:szCs w:val="32"/>
        </w:rPr>
        <w:t xml:space="preserve"> </w:t>
      </w:r>
    </w:p>
    <w:p>
      <w:pPr>
        <w:shd w:val="clear" w:color="auto" w:fill="FFFFFF"/>
        <w:wordWrap w:val="0"/>
        <w:spacing w:line="620" w:lineRule="atLeast"/>
        <w:ind w:firstLine="704"/>
        <w:rPr>
          <w:rFonts w:ascii="仿宋" w:hAnsi="仿宋" w:eastAsia="仿宋" w:cs="仿宋_GB2312"/>
          <w:sz w:val="32"/>
          <w:szCs w:val="32"/>
        </w:rPr>
      </w:pPr>
      <w:r>
        <w:rPr>
          <w:rFonts w:hint="eastAsia" w:ascii="仿宋" w:hAnsi="仿宋" w:eastAsia="仿宋" w:cs="仿宋_GB2312"/>
          <w:sz w:val="32"/>
          <w:szCs w:val="32"/>
        </w:rPr>
        <w:t>2019年度机关运行经费支出</w:t>
      </w:r>
      <w:r>
        <w:rPr>
          <w:rFonts w:hint="eastAsia" w:ascii="仿宋" w:hAnsi="仿宋" w:eastAsia="仿宋" w:cs="仿宋_GB2312"/>
          <w:color w:val="333333"/>
          <w:sz w:val="32"/>
          <w:szCs w:val="32"/>
        </w:rPr>
        <w:t>2,010.29</w:t>
      </w:r>
      <w:r>
        <w:rPr>
          <w:rFonts w:hint="eastAsia" w:ascii="仿宋" w:hAnsi="仿宋" w:eastAsia="仿宋" w:cs="仿宋_GB2312"/>
          <w:sz w:val="32"/>
          <w:szCs w:val="32"/>
        </w:rPr>
        <w:t>万元，比</w:t>
      </w:r>
      <w:r>
        <w:rPr>
          <w:rFonts w:hint="eastAsia" w:ascii="仿宋" w:hAnsi="仿宋" w:eastAsia="仿宋"/>
          <w:sz w:val="32"/>
          <w:szCs w:val="32"/>
        </w:rPr>
        <w:t>上年</w:t>
      </w:r>
      <w:r>
        <w:rPr>
          <w:rFonts w:hint="eastAsia" w:ascii="仿宋" w:hAnsi="仿宋" w:eastAsia="仿宋" w:cs="仿宋_GB2312"/>
          <w:sz w:val="32"/>
          <w:szCs w:val="32"/>
        </w:rPr>
        <w:t>决算数下降8.42%，主要是:水电费、夜餐费、跨区域公务出行、培训费、差旅费等费用减少。</w:t>
      </w:r>
    </w:p>
    <w:p>
      <w:pPr>
        <w:shd w:val="clear" w:color="auto" w:fill="FFFFFF"/>
        <w:tabs>
          <w:tab w:val="left" w:pos="7513"/>
        </w:tabs>
        <w:adjustRightInd w:val="0"/>
        <w:snapToGrid w:val="0"/>
        <w:spacing w:before="100" w:beforeAutospacing="1" w:after="100" w:afterAutospacing="1" w:line="600" w:lineRule="exact"/>
        <w:ind w:firstLine="643" w:firstLineChars="200"/>
        <w:rPr>
          <w:rFonts w:ascii="黑体" w:hAnsi="黑体" w:eastAsia="黑体" w:cs="仿宋_GB2312"/>
          <w:sz w:val="32"/>
          <w:szCs w:val="32"/>
          <w:highlight w:val="none"/>
        </w:rPr>
      </w:pPr>
      <w:r>
        <w:rPr>
          <w:rFonts w:hint="eastAsia" w:ascii="楷体" w:hAnsi="楷体" w:eastAsia="楷体"/>
          <w:b/>
          <w:sz w:val="32"/>
          <w:szCs w:val="32"/>
          <w:highlight w:val="none"/>
        </w:rPr>
        <w:t>（二）政府采购情况</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本部门2019年度政府采购支出总额</w:t>
      </w:r>
      <w:r>
        <w:rPr>
          <w:rFonts w:hint="eastAsia" w:ascii="仿宋" w:hAnsi="仿宋" w:eastAsia="仿宋" w:cs="仿宋_GB2312"/>
          <w:color w:val="333333"/>
          <w:sz w:val="32"/>
          <w:szCs w:val="32"/>
          <w:highlight w:val="none"/>
        </w:rPr>
        <w:t>1,777.65</w:t>
      </w:r>
      <w:r>
        <w:rPr>
          <w:rFonts w:hint="eastAsia" w:ascii="仿宋" w:hAnsi="仿宋" w:eastAsia="仿宋" w:cs="仿宋_GB2312"/>
          <w:sz w:val="32"/>
          <w:szCs w:val="32"/>
          <w:highlight w:val="none"/>
        </w:rPr>
        <w:t>万元，其中：政府采购货物支出</w:t>
      </w:r>
      <w:r>
        <w:rPr>
          <w:rFonts w:hint="eastAsia" w:ascii="仿宋" w:hAnsi="仿宋" w:eastAsia="仿宋" w:cs="仿宋_GB2312"/>
          <w:color w:val="333333"/>
          <w:sz w:val="32"/>
          <w:szCs w:val="32"/>
          <w:highlight w:val="none"/>
        </w:rPr>
        <w:t>1,247.81</w:t>
      </w:r>
      <w:r>
        <w:rPr>
          <w:rFonts w:hint="eastAsia" w:ascii="仿宋" w:hAnsi="仿宋" w:eastAsia="仿宋" w:cs="仿宋_GB2312"/>
          <w:sz w:val="32"/>
          <w:szCs w:val="32"/>
          <w:highlight w:val="none"/>
        </w:rPr>
        <w:t>万元、政府采购工程支出</w:t>
      </w:r>
      <w:r>
        <w:rPr>
          <w:rFonts w:hint="eastAsia" w:ascii="仿宋" w:hAnsi="仿宋" w:eastAsia="仿宋" w:cs="仿宋_GB2312"/>
          <w:color w:val="333333"/>
          <w:sz w:val="32"/>
          <w:szCs w:val="32"/>
          <w:highlight w:val="none"/>
        </w:rPr>
        <w:t>146.77</w:t>
      </w:r>
      <w:r>
        <w:rPr>
          <w:rFonts w:hint="eastAsia" w:ascii="仿宋" w:hAnsi="仿宋" w:eastAsia="仿宋" w:cs="仿宋_GB2312"/>
          <w:sz w:val="32"/>
          <w:szCs w:val="32"/>
          <w:highlight w:val="none"/>
        </w:rPr>
        <w:t>万元、政府采购服务支出</w:t>
      </w:r>
      <w:r>
        <w:rPr>
          <w:rFonts w:hint="eastAsia" w:ascii="仿宋" w:hAnsi="仿宋" w:eastAsia="仿宋" w:cs="仿宋_GB2312"/>
          <w:color w:val="333333"/>
          <w:sz w:val="32"/>
          <w:szCs w:val="32"/>
          <w:highlight w:val="none"/>
        </w:rPr>
        <w:t>383.08</w:t>
      </w:r>
      <w:r>
        <w:rPr>
          <w:rFonts w:hint="eastAsia" w:ascii="仿宋" w:hAnsi="仿宋" w:eastAsia="仿宋" w:cs="仿宋_GB2312"/>
          <w:sz w:val="32"/>
          <w:szCs w:val="32"/>
          <w:highlight w:val="none"/>
        </w:rPr>
        <w:t>万元。授予中小企业合同金额</w:t>
      </w:r>
      <w:r>
        <w:rPr>
          <w:rFonts w:hint="eastAsia" w:ascii="仿宋" w:hAnsi="仿宋" w:eastAsia="仿宋" w:cs="仿宋_GB2312"/>
          <w:color w:val="333333"/>
          <w:sz w:val="32"/>
          <w:szCs w:val="32"/>
          <w:highlight w:val="none"/>
        </w:rPr>
        <w:t>383.08</w:t>
      </w:r>
      <w:r>
        <w:rPr>
          <w:rFonts w:hint="eastAsia" w:ascii="仿宋" w:hAnsi="仿宋" w:eastAsia="仿宋" w:cs="仿宋_GB2312"/>
          <w:sz w:val="32"/>
          <w:szCs w:val="32"/>
          <w:highlight w:val="none"/>
        </w:rPr>
        <w:t>万元，占政府采购支出总额的100%</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其中：授予小微企业合同金额</w:t>
      </w:r>
      <w:r>
        <w:rPr>
          <w:rFonts w:hint="eastAsia" w:ascii="仿宋" w:hAnsi="仿宋" w:eastAsia="仿宋" w:cs="仿宋_GB2312"/>
          <w:color w:val="333333"/>
          <w:sz w:val="32"/>
          <w:szCs w:val="32"/>
          <w:highlight w:val="none"/>
        </w:rPr>
        <w:t>0.00</w:t>
      </w:r>
      <w:r>
        <w:rPr>
          <w:rFonts w:hint="eastAsia" w:ascii="仿宋" w:hAnsi="仿宋" w:eastAsia="仿宋" w:cs="仿宋_GB2312"/>
          <w:sz w:val="32"/>
          <w:szCs w:val="32"/>
          <w:highlight w:val="none"/>
        </w:rPr>
        <w:t>万元，占政府采购支出总额的</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cs="仿宋_GB2312"/>
          <w:sz w:val="32"/>
          <w:szCs w:val="32"/>
          <w:highlight w:val="yellow"/>
        </w:rPr>
      </w:pPr>
    </w:p>
    <w:p>
      <w:pPr>
        <w:shd w:val="clear" w:color="auto" w:fill="FFFFFF"/>
        <w:tabs>
          <w:tab w:val="left" w:pos="7513"/>
        </w:tabs>
        <w:adjustRightInd w:val="0"/>
        <w:snapToGrid w:val="0"/>
        <w:spacing w:before="100" w:beforeAutospacing="1" w:after="100" w:afterAutospacing="1" w:line="600" w:lineRule="exact"/>
        <w:ind w:firstLine="707" w:firstLineChars="220"/>
      </w:pPr>
      <w:r>
        <w:rPr>
          <w:rFonts w:hint="eastAsia" w:ascii="楷体" w:hAnsi="楷体" w:eastAsia="楷体"/>
          <w:b/>
          <w:sz w:val="32"/>
          <w:szCs w:val="32"/>
        </w:rPr>
        <w:t>（三）国有资产占用使用情况</w:t>
      </w:r>
      <w:r>
        <w:rPr>
          <w:rFonts w:hint="eastAsia" w:ascii="黑体" w:hAnsi="黑体" w:eastAsia="黑体"/>
          <w:sz w:val="32"/>
          <w:szCs w:val="32"/>
        </w:rPr>
        <w:t xml:space="preserve"> </w:t>
      </w:r>
    </w:p>
    <w:p>
      <w:pPr>
        <w:shd w:val="clear" w:color="auto" w:fill="FFFFFF"/>
        <w:tabs>
          <w:tab w:val="left" w:pos="7513"/>
        </w:tabs>
        <w:adjustRightInd w:val="0"/>
        <w:snapToGrid w:val="0"/>
        <w:spacing w:before="100" w:beforeAutospacing="1" w:after="100" w:afterAutospacing="1"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截至</w:t>
      </w:r>
      <w:r>
        <w:rPr>
          <w:rFonts w:hint="eastAsia" w:ascii="仿宋" w:hAnsi="仿宋" w:eastAsia="仿宋"/>
          <w:sz w:val="32"/>
          <w:szCs w:val="32"/>
        </w:rPr>
        <w:t>2019</w:t>
      </w:r>
      <w:r>
        <w:rPr>
          <w:rFonts w:hint="eastAsia" w:ascii="仿宋" w:hAnsi="仿宋" w:eastAsia="仿宋" w:cs="仿宋_GB2312"/>
          <w:sz w:val="32"/>
          <w:szCs w:val="32"/>
        </w:rPr>
        <w:t>年12月31日，本部门共有车辆26辆，其中：部（省）级及以上领导用车0辆、主要领导干部用车1辆、机要通信用车0辆、应急保障用车0辆、执法执勤用车20辆、特种专业技术用车5辆、离退休干部用车0辆、其他用车0辆；单价50万元（含）以上通用设备8台（套），单价100万元（含）以上专用设备0台（套）。</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cs="仿宋_GB2312"/>
          <w:sz w:val="32"/>
          <w:szCs w:val="32"/>
        </w:rPr>
      </w:pPr>
    </w:p>
    <w:p>
      <w:pPr>
        <w:shd w:val="clear" w:color="auto" w:fill="FFFFFF"/>
        <w:autoSpaceDE w:val="0"/>
        <w:autoSpaceDN w:val="0"/>
        <w:adjustRightInd w:val="0"/>
        <w:spacing w:before="100" w:beforeAutospacing="1" w:after="100" w:afterAutospacing="1" w:line="600" w:lineRule="exact"/>
        <w:ind w:firstLine="720" w:firstLineChars="200"/>
        <w:jc w:val="center"/>
        <w:rPr>
          <w:rFonts w:ascii="仿宋" w:hAnsi="仿宋" w:eastAsia="仿宋"/>
          <w:b/>
          <w:sz w:val="32"/>
          <w:szCs w:val="32"/>
        </w:rPr>
      </w:pPr>
      <w:r>
        <w:rPr>
          <w:rFonts w:hint="eastAsia" w:ascii="黑体" w:hAnsi="黑体" w:eastAsia="黑体"/>
          <w:sz w:val="36"/>
          <w:szCs w:val="36"/>
        </w:rPr>
        <w:t>第四部分 名词解释</w:t>
      </w:r>
    </w:p>
    <w:p>
      <w:pPr>
        <w:shd w:val="clear" w:color="auto" w:fill="FFFFFF"/>
        <w:autoSpaceDE w:val="0"/>
        <w:autoSpaceDN w:val="0"/>
        <w:adjustRightInd w:val="0"/>
        <w:spacing w:before="100" w:beforeAutospacing="1" w:after="100" w:afterAutospacing="1" w:line="600" w:lineRule="exact"/>
        <w:ind w:firstLine="640" w:firstLineChars="200"/>
        <w:rPr>
          <w:rFonts w:ascii="仿宋" w:hAnsi="仿宋" w:eastAsia="仿宋" w:cs="仿宋_GB2312"/>
          <w:sz w:val="32"/>
          <w:szCs w:val="32"/>
        </w:rPr>
      </w:pPr>
    </w:p>
    <w:p>
      <w:pPr>
        <w:shd w:val="clear" w:color="auto" w:fill="FFFFFF"/>
        <w:spacing w:before="100" w:beforeAutospacing="1" w:after="100" w:afterAutospacing="1" w:line="600" w:lineRule="exact"/>
        <w:ind w:firstLine="707" w:firstLineChars="221"/>
        <w:rPr>
          <w:rFonts w:ascii="仿宋" w:hAnsi="仿宋" w:eastAsia="仿宋" w:cs="仿宋"/>
          <w:color w:val="000000"/>
          <w:sz w:val="32"/>
          <w:szCs w:val="32"/>
        </w:rPr>
      </w:pPr>
      <w:r>
        <w:rPr>
          <w:rFonts w:hint="eastAsia" w:ascii="仿宋" w:hAnsi="仿宋" w:eastAsia="仿宋" w:cs="仿宋"/>
          <w:color w:val="000000"/>
          <w:sz w:val="32"/>
          <w:szCs w:val="32"/>
        </w:rPr>
        <w:t xml:space="preserve">一、财政拨款收入：指省级财政当年拨付的资金。 </w:t>
      </w:r>
    </w:p>
    <w:p>
      <w:pPr>
        <w:shd w:val="clear" w:color="auto" w:fill="FFFFFF"/>
        <w:spacing w:before="100" w:beforeAutospacing="1" w:after="100" w:afterAutospacing="1" w:line="600" w:lineRule="exact"/>
        <w:ind w:firstLine="707" w:firstLineChars="221"/>
        <w:rPr>
          <w:rFonts w:ascii="仿宋" w:hAnsi="仿宋" w:eastAsia="仿宋" w:cs="仿宋"/>
          <w:color w:val="000000"/>
          <w:sz w:val="32"/>
          <w:szCs w:val="32"/>
        </w:rPr>
      </w:pPr>
      <w:r>
        <w:rPr>
          <w:rFonts w:hint="eastAsia" w:ascii="仿宋" w:hAnsi="仿宋" w:eastAsia="仿宋" w:cs="仿宋"/>
          <w:color w:val="000000"/>
          <w:sz w:val="32"/>
          <w:szCs w:val="32"/>
        </w:rPr>
        <w:t>二、事业收入：指事业单位开展专业业务活动及辅助活动所取得的收入。</w:t>
      </w:r>
    </w:p>
    <w:p>
      <w:pPr>
        <w:shd w:val="clear" w:color="auto" w:fill="FFFFFF"/>
        <w:spacing w:before="100" w:beforeAutospacing="1" w:after="100" w:afterAutospacing="1" w:line="600" w:lineRule="exact"/>
        <w:ind w:firstLine="707" w:firstLineChars="221"/>
        <w:rPr>
          <w:rFonts w:ascii="仿宋" w:hAnsi="仿宋" w:eastAsia="仿宋" w:cs="仿宋"/>
          <w:color w:val="000000"/>
          <w:sz w:val="32"/>
          <w:szCs w:val="32"/>
        </w:rPr>
      </w:pPr>
      <w:r>
        <w:rPr>
          <w:rFonts w:hint="eastAsia" w:ascii="仿宋" w:hAnsi="仿宋" w:eastAsia="仿宋" w:cs="仿宋"/>
          <w:color w:val="000000"/>
          <w:sz w:val="32"/>
          <w:szCs w:val="32"/>
        </w:rPr>
        <w:t xml:space="preserve">三、经营收入：指事业单位在专业业务活动及其辅助活动之外开展非独立核算经营活动取得的收入。 </w:t>
      </w:r>
    </w:p>
    <w:p>
      <w:pPr>
        <w:shd w:val="clear" w:color="auto" w:fill="FFFFFF"/>
        <w:spacing w:before="100" w:beforeAutospacing="1" w:after="100" w:afterAutospacing="1" w:line="600" w:lineRule="exact"/>
        <w:ind w:firstLine="707" w:firstLineChars="221"/>
        <w:rPr>
          <w:rFonts w:ascii="仿宋" w:hAnsi="仿宋" w:eastAsia="仿宋" w:cs="仿宋"/>
          <w:color w:val="000000"/>
          <w:sz w:val="32"/>
          <w:szCs w:val="32"/>
        </w:rPr>
      </w:pPr>
      <w:r>
        <w:rPr>
          <w:rFonts w:hint="eastAsia" w:ascii="仿宋" w:hAnsi="仿宋" w:eastAsia="仿宋" w:cs="仿宋"/>
          <w:color w:val="000000"/>
          <w:sz w:val="32"/>
          <w:szCs w:val="32"/>
        </w:rPr>
        <w:t xml:space="preserve">四、其他收入：指除上述“财政拨款收入”、“事业收入”、“经营收入”等以外的收入。主要是按规定动用的售房收入、存款利息收入等。 </w:t>
      </w:r>
    </w:p>
    <w:p>
      <w:pPr>
        <w:shd w:val="clear" w:color="auto" w:fill="FFFFFF"/>
        <w:spacing w:before="100" w:beforeAutospacing="1" w:after="100" w:afterAutospacing="1" w:line="600" w:lineRule="exact"/>
        <w:ind w:firstLine="707" w:firstLineChars="221"/>
        <w:rPr>
          <w:rFonts w:ascii="仿宋" w:hAnsi="仿宋" w:eastAsia="仿宋" w:cs="仿宋"/>
          <w:color w:val="000000"/>
          <w:sz w:val="32"/>
          <w:szCs w:val="32"/>
        </w:rPr>
      </w:pPr>
      <w:r>
        <w:rPr>
          <w:rFonts w:hint="eastAsia" w:ascii="仿宋" w:hAnsi="仿宋" w:eastAsia="仿宋" w:cs="仿宋"/>
          <w:color w:val="00000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hd w:val="clear" w:color="auto" w:fill="FFFFFF"/>
        <w:spacing w:before="100" w:beforeAutospacing="1" w:after="100" w:afterAutospacing="1" w:line="600" w:lineRule="exact"/>
        <w:ind w:firstLine="707" w:firstLineChars="221"/>
        <w:rPr>
          <w:rFonts w:ascii="仿宋" w:hAnsi="仿宋" w:eastAsia="仿宋" w:cs="仿宋"/>
          <w:color w:val="000000"/>
          <w:sz w:val="32"/>
          <w:szCs w:val="32"/>
        </w:rPr>
      </w:pPr>
      <w:r>
        <w:rPr>
          <w:rFonts w:hint="eastAsia" w:ascii="仿宋" w:hAnsi="仿宋" w:eastAsia="仿宋" w:cs="仿宋"/>
          <w:color w:val="000000"/>
          <w:sz w:val="32"/>
          <w:szCs w:val="32"/>
        </w:rPr>
        <w:t>六、年初结转和结余：指以前年度尚未完成、结转到本年 按有关规定继续使用的资金。</w:t>
      </w:r>
    </w:p>
    <w:p>
      <w:pPr>
        <w:pStyle w:val="6"/>
        <w:shd w:val="clear" w:color="auto" w:fill="FFFFFF"/>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七、结余分配：指事业单位按规定提取的职工福利基金、事业基金和缴纳的所得税，以及建设单位按规定应交回的基本建设竣工项目结余资金。 </w:t>
      </w:r>
    </w:p>
    <w:p>
      <w:pPr>
        <w:pStyle w:val="6"/>
        <w:shd w:val="clear" w:color="auto" w:fill="FFFFFF"/>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八、年末结转和结余：指本年度或以前年度预算安排、因客观条件发生变化无法按原计划实施，需延迟到以后年度按有关规定继续使用的资金。 </w:t>
      </w:r>
    </w:p>
    <w:p>
      <w:pPr>
        <w:pStyle w:val="6"/>
        <w:shd w:val="clear" w:color="auto" w:fill="FFFFFF"/>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九、基本支出：指为保障机构正常运转、完成日常工作任务而发生的人员支出和公用支出。 </w:t>
      </w:r>
    </w:p>
    <w:p>
      <w:pPr>
        <w:pStyle w:val="6"/>
        <w:shd w:val="clear" w:color="auto" w:fill="FFFFFF"/>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十、项目支出：指在基本支出之外为完成特定行政任务和事业发展目标所发生的支出。 </w:t>
      </w:r>
    </w:p>
    <w:p>
      <w:pPr>
        <w:pStyle w:val="6"/>
        <w:shd w:val="clear" w:color="auto" w:fill="FFFFFF"/>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十一、经营支出：指事业单位在专业业务活动及其辅助活动之外开展非独立核算经营活动发生的支出。 </w:t>
      </w:r>
    </w:p>
    <w:p>
      <w:pPr>
        <w:pStyle w:val="6"/>
        <w:shd w:val="clear" w:color="auto" w:fill="FFFFFF"/>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十二、“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hd w:val="clear" w:color="auto" w:fill="FFFFFF"/>
        <w:spacing w:before="100" w:beforeAutospacing="1" w:after="100" w:afterAutospacing="1"/>
        <w:ind w:firstLine="640" w:firstLineChars="200"/>
        <w:rPr>
          <w:rFonts w:ascii="仿宋" w:hAnsi="仿宋" w:eastAsia="仿宋"/>
          <w:sz w:val="32"/>
          <w:szCs w:val="32"/>
        </w:rPr>
      </w:pPr>
      <w:r>
        <w:rPr>
          <w:rFonts w:hint="eastAsia" w:ascii="仿宋" w:hAnsi="仿宋" w:eastAsia="仿宋" w:cs="仿宋"/>
          <w:color w:val="000000"/>
          <w:sz w:val="32"/>
          <w:szCs w:val="32"/>
        </w:rPr>
        <w:t>十三、机关运行经费：为保障行政单位（含参照公务员法管理的事业单位）运行用于购买货物和服务的各项资金，包括办公及印刷费、邮电费、差旅费、会议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sectPr>
      <w:footerReference r:id="rId5" w:type="default"/>
      <w:pgSz w:w="11907" w:h="16840"/>
      <w:pgMar w:top="1440" w:right="1800" w:bottom="1440" w:left="1800" w:header="851" w:footer="992" w:gutter="0"/>
      <w:pgNumType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870" w:firstLineChars="2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19</w:t>
    </w:r>
    <w:r>
      <w:rPr>
        <w:lang w:val="zh-CN"/>
      </w:rPr>
      <w:fldChar w:fldCharType="end"/>
    </w:r>
  </w:p>
  <w:p>
    <w:pPr>
      <w:pStyle w:val="2"/>
      <w:ind w:firstLine="3870" w:firstLineChars="2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5676380">
    <w:nsid w:val="7065235C"/>
    <w:multiLevelType w:val="multilevel"/>
    <w:tmpl w:val="7065235C"/>
    <w:lvl w:ilvl="0" w:tentative="1">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88567638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spacing w:before="100" w:beforeAutospacing="1" w:after="100" w:afterAutospacing="1"/>
    </w:pPr>
  </w:style>
  <w:style w:type="paragraph" w:customStyle="1" w:styleId="6">
    <w:name w:val="default"/>
    <w:basedOn w:val="1"/>
    <w:uiPriority w:val="0"/>
    <w:pPr>
      <w:spacing w:before="100" w:beforeAutospacing="1" w:after="100" w:afterAutospacing="1"/>
    </w:pPr>
  </w:style>
  <w:style w:type="character" w:customStyle="1" w:styleId="7">
    <w:name w:val="页眉 Char Char"/>
    <w:basedOn w:val="4"/>
    <w:link w:val="3"/>
    <w:uiPriority w:val="99"/>
    <w:rPr>
      <w:rFonts w:ascii="宋体" w:hAnsi="宋体" w:eastAsia="宋体" w:cs="宋体"/>
      <w:sz w:val="18"/>
      <w:szCs w:val="18"/>
    </w:rPr>
  </w:style>
  <w:style w:type="character" w:customStyle="1" w:styleId="8">
    <w:name w:val="页脚 Char Char"/>
    <w:basedOn w:val="4"/>
    <w:link w:val="2"/>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2146</Words>
  <Characters>12233</Characters>
  <Lines>101</Lines>
  <Paragraphs>28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2020-07-31T08:56:00Z</dcterms:created>
  <dc:creator>PC</dc:creator>
  <cp:lastModifiedBy>何诗敏</cp:lastModifiedBy>
  <cp:lastPrinted>2020-07-31T09:04:00Z</cp:lastPrinted>
  <dcterms:modified xsi:type="dcterms:W3CDTF">2021-06-09T08:58:45Z</dcterms:modified>
  <dc:title>公开文本2019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