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仿宋" w:eastAsia="方正小标宋简体" w:cs="仿宋_GB2312"/>
          <w:sz w:val="44"/>
          <w:szCs w:val="44"/>
        </w:rPr>
      </w:pPr>
      <w:r>
        <w:rPr>
          <w:rFonts w:hint="eastAsia" w:ascii="方正小标宋简体" w:hAnsi="仿宋" w:eastAsia="方正小标宋简体" w:cs="仿宋_GB2312"/>
          <w:sz w:val="44"/>
          <w:szCs w:val="44"/>
        </w:rPr>
        <w:t>2021年厦门市自然资源和规划局</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部门预算说明</w:t>
      </w:r>
    </w:p>
    <w:p>
      <w:pPr>
        <w:spacing w:line="560" w:lineRule="exact"/>
        <w:jc w:val="center"/>
        <w:rPr>
          <w:rFonts w:ascii="黑体" w:hAnsi="黑体" w:eastAsia="黑体"/>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目   录</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eastAsia="黑体"/>
          <w:sz w:val="32"/>
          <w:szCs w:val="32"/>
        </w:rPr>
        <w:t xml:space="preserve">第一部分  </w:t>
      </w:r>
      <w:r>
        <w:rPr>
          <w:rFonts w:hint="eastAsia" w:ascii="黑体" w:hAnsi="黑体" w:eastAsia="黑体"/>
          <w:sz w:val="32"/>
          <w:szCs w:val="32"/>
        </w:rPr>
        <w:t>部门概况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一、部门主要职责</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二、部门预算单位基本情况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三、部门主要工作任务</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第二部分  2021年部门预算说明</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一、2021年部门预算收支总体情况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二、一般公共预算财政拨款支出预算情况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三、政府性基金预算财政拨款支出情况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四、“三公”经费财政拨款预算情况</w:t>
      </w:r>
    </w:p>
    <w:p>
      <w:pPr>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五、其他重要事项的情况说明</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第四部分  2021年部门预算附表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十一、一级项目绩效目标表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320" w:firstLineChars="200"/>
        <w:rPr>
          <w:rFonts w:ascii="宋体" w:hAnsi="宋体" w:eastAsia="宋体" w:cs="宋体"/>
          <w:color w:val="555555"/>
          <w:kern w:val="0"/>
          <w:sz w:val="16"/>
          <w:szCs w:val="16"/>
        </w:rPr>
      </w:pPr>
    </w:p>
    <w:p>
      <w:pPr>
        <w:tabs>
          <w:tab w:val="left" w:pos="7513"/>
        </w:tabs>
        <w:adjustRightInd w:val="0"/>
        <w:snapToGrid w:val="0"/>
        <w:spacing w:line="560" w:lineRule="exact"/>
        <w:ind w:firstLine="640" w:firstLineChars="200"/>
        <w:jc w:val="center"/>
        <w:rPr>
          <w:rFonts w:ascii="黑体" w:hAnsi="Calibri" w:eastAsia="黑体" w:cs="Times New Roman"/>
          <w:sz w:val="32"/>
          <w:szCs w:val="32"/>
        </w:rPr>
      </w:pPr>
    </w:p>
    <w:p>
      <w:pPr>
        <w:tabs>
          <w:tab w:val="left" w:pos="7513"/>
        </w:tabs>
        <w:adjustRightInd w:val="0"/>
        <w:snapToGrid w:val="0"/>
        <w:spacing w:line="560" w:lineRule="exact"/>
        <w:ind w:firstLine="640" w:firstLineChars="200"/>
        <w:jc w:val="center"/>
        <w:rPr>
          <w:rFonts w:ascii="黑体" w:hAnsi="Calibri" w:eastAsia="黑体" w:cs="Times New Roman"/>
          <w:sz w:val="32"/>
          <w:szCs w:val="32"/>
        </w:rPr>
      </w:pPr>
      <w:r>
        <w:rPr>
          <w:rFonts w:hint="eastAsia" w:ascii="黑体" w:hAnsi="Calibri" w:eastAsia="黑体" w:cs="Times New Roman"/>
          <w:sz w:val="32"/>
          <w:szCs w:val="32"/>
        </w:rPr>
        <w:t>第一部分  部门概况</w:t>
      </w:r>
    </w:p>
    <w:p>
      <w:pPr>
        <w:pStyle w:val="9"/>
        <w:numPr>
          <w:ilvl w:val="0"/>
          <w:numId w:val="1"/>
        </w:numPr>
        <w:tabs>
          <w:tab w:val="left" w:pos="7513"/>
        </w:tabs>
        <w:adjustRightInd w:val="0"/>
        <w:snapToGrid w:val="0"/>
        <w:spacing w:line="560" w:lineRule="exact"/>
        <w:ind w:firstLineChars="0"/>
        <w:rPr>
          <w:rFonts w:ascii="黑体" w:hAnsi="黑体" w:eastAsia="黑体" w:cs="仿宋_GB2312"/>
          <w:sz w:val="32"/>
          <w:szCs w:val="32"/>
        </w:rPr>
      </w:pPr>
      <w:r>
        <w:rPr>
          <w:rFonts w:hint="eastAsia" w:ascii="黑体" w:hAnsi="黑体" w:eastAsia="黑体" w:cs="仿宋_GB2312"/>
          <w:sz w:val="32"/>
          <w:szCs w:val="32"/>
        </w:rPr>
        <w:t>部门主要职责</w:t>
      </w:r>
    </w:p>
    <w:p>
      <w:pPr>
        <w:tabs>
          <w:tab w:val="left" w:pos="7513"/>
        </w:tabs>
        <w:adjustRightInd w:val="0"/>
        <w:snapToGrid w:val="0"/>
        <w:spacing w:line="560" w:lineRule="exact"/>
        <w:ind w:left="815"/>
        <w:rPr>
          <w:rFonts w:ascii="仿宋_GB2312" w:hAnsi="仿宋" w:eastAsia="仿宋_GB2312" w:cs="宋体"/>
          <w:kern w:val="0"/>
          <w:sz w:val="32"/>
          <w:szCs w:val="32"/>
        </w:rPr>
      </w:pPr>
      <w:r>
        <w:rPr>
          <w:rFonts w:hint="eastAsia" w:ascii="仿宋_GB2312" w:hAnsi="仿宋" w:eastAsia="仿宋_GB2312" w:cs="宋体"/>
          <w:kern w:val="0"/>
          <w:sz w:val="32"/>
          <w:szCs w:val="32"/>
        </w:rPr>
        <w:t>厦门市自然资源和规划局的主要职责是：</w:t>
      </w:r>
    </w:p>
    <w:p>
      <w:pPr>
        <w:tabs>
          <w:tab w:val="left" w:pos="7513"/>
        </w:tabs>
        <w:adjustRightInd w:val="0"/>
        <w:snapToGrid w:val="0"/>
        <w:spacing w:line="560" w:lineRule="exact"/>
        <w:ind w:firstLine="320" w:firstLineChars="100"/>
        <w:rPr>
          <w:rFonts w:ascii="仿宋_GB2312" w:hAnsi="仿宋" w:eastAsia="仿宋_GB2312" w:cs="宋体"/>
          <w:kern w:val="0"/>
          <w:sz w:val="32"/>
          <w:szCs w:val="32"/>
        </w:rPr>
      </w:pPr>
      <w:r>
        <w:rPr>
          <w:rFonts w:hint="eastAsia" w:ascii="仿宋_GB2312" w:hAnsi="仿宋" w:eastAsia="仿宋_GB2312" w:cs="宋体"/>
          <w:kern w:val="0"/>
          <w:sz w:val="32"/>
          <w:szCs w:val="32"/>
        </w:rPr>
        <w:t>　（一）根据授权，履行全民所有土地、矿产、森林、湿地、海洋等自然资源资产所有者职责。履行所有国土空间用途管制职责。组织贯彻执行国家自然资源和国土空间规划及测绘等法律、法规、规章，起草并组织实施自然资源和国土空间规划及测绘等地方性法规、规章和政策。</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（二）负责自然资源调查监测评价。</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（三）负责自然资源和不动产统一确权登记工作。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（四）负责建立空间规划体系并监督实施。</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（五）负责城市设计管理及城市公共环境景观规划工作。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（六）负责自然资源资产有偿使用工作。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（七）负责自然资源的合理开发利用。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（八）落实国土空间用途管制制度。</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（九）组织实施最严格的耕地保护制度。</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（十）负责管理矿产资源、地质勘查行业和地质工作。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（十一）落实综合防灾减灾规划相关要求。</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（十二）负责海域、海岛相关规划和管理。</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（十三）负责统筹国土空间生态修复。</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（十四）负责统筹森林、湿地资源及有关自然保护区和海洋公园、地质遗迹保护管理工作。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（十五）负责建设用地和建设工程的规划管理和用地审批。负责建设工程竣工规划条件核实。</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（十六）负责管理测绘地理信息工作。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（十七）推动自然资源和规划领域科技发展工作。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（十八）负责自然资源和规划领域行业管理工作。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（十九）监督检查自然资源和国土空间规划及测绘法律法规执行情况。</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（二十）负责本系统、本领域人才队伍建设。组织开展自然资源和规划领域对外交流合作。</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（二十一）按规定承担安全生产方面的相关职责。</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（二十二）完成市委和市政府交办的其他任务。</w:t>
      </w:r>
    </w:p>
    <w:p>
      <w:pPr>
        <w:tabs>
          <w:tab w:val="left" w:pos="7513"/>
        </w:tabs>
        <w:adjustRightInd w:val="0"/>
        <w:snapToGrid w:val="0"/>
        <w:spacing w:line="560" w:lineRule="exact"/>
        <w:ind w:firstLine="480" w:firstLineChars="150"/>
        <w:rPr>
          <w:rFonts w:ascii="仿宋_GB2312" w:hAnsi="仿宋" w:eastAsia="仿宋_GB2312" w:cs="宋体"/>
          <w:b/>
          <w:kern w:val="0"/>
          <w:sz w:val="32"/>
          <w:szCs w:val="32"/>
        </w:rPr>
      </w:pPr>
      <w:r>
        <w:rPr>
          <w:rFonts w:hint="eastAsia" w:ascii="仿宋_GB2312" w:hAnsi="仿宋" w:eastAsia="仿宋_GB2312" w:cs="宋体"/>
          <w:kern w:val="0"/>
          <w:sz w:val="32"/>
          <w:szCs w:val="32"/>
        </w:rPr>
        <w:t>　</w:t>
      </w:r>
      <w:r>
        <w:rPr>
          <w:rFonts w:hint="eastAsia" w:ascii="仿宋_GB2312" w:hAnsi="仿宋" w:eastAsia="仿宋_GB2312" w:cs="宋体"/>
          <w:b/>
          <w:kern w:val="0"/>
          <w:sz w:val="32"/>
          <w:szCs w:val="32"/>
        </w:rPr>
        <w:t>二、部门预算单位基本情况</w:t>
      </w:r>
    </w:p>
    <w:p>
      <w:pPr>
        <w:tabs>
          <w:tab w:val="left" w:pos="7513"/>
        </w:tabs>
        <w:adjustRightInd w:val="0"/>
        <w:snapToGrid w:val="0"/>
        <w:spacing w:line="560" w:lineRule="exact"/>
        <w:ind w:firstLine="800" w:firstLineChars="250"/>
        <w:rPr>
          <w:rFonts w:ascii="仿宋_GB2312" w:hAnsi="仿宋" w:eastAsia="仿宋_GB2312" w:cs="宋体"/>
          <w:kern w:val="0"/>
          <w:sz w:val="32"/>
          <w:szCs w:val="32"/>
        </w:rPr>
      </w:pPr>
      <w:r>
        <w:rPr>
          <w:rFonts w:hint="eastAsia" w:ascii="仿宋_GB2312" w:hAnsi="仿宋" w:eastAsia="仿宋_GB2312" w:cs="宋体"/>
          <w:kern w:val="0"/>
          <w:sz w:val="32"/>
          <w:szCs w:val="32"/>
        </w:rPr>
        <w:t>厦门市自然资源和规划局部门包括22个机关行政处室及20个基层预算单位，其中：列入2021年部门预算编制范围的单位详细情况见下表:</w:t>
      </w:r>
    </w:p>
    <w:tbl>
      <w:tblPr>
        <w:tblStyle w:val="5"/>
        <w:tblW w:w="5399" w:type="pct"/>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300"/>
        <w:gridCol w:w="1580"/>
        <w:gridCol w:w="1539"/>
        <w:gridCol w:w="8"/>
        <w:gridCol w:w="155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单位名称</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经费性质</w:t>
            </w:r>
          </w:p>
        </w:tc>
        <w:tc>
          <w:tcPr>
            <w:tcW w:w="1547" w:type="dxa"/>
            <w:gridSpan w:val="2"/>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人员编制数</w:t>
            </w:r>
          </w:p>
        </w:tc>
        <w:tc>
          <w:tcPr>
            <w:tcW w:w="1559"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在职人数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厦门市自然资源和规划局机关</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4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112</w:t>
            </w:r>
          </w:p>
        </w:tc>
        <w:tc>
          <w:tcPr>
            <w:tcW w:w="15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112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厦门市自然资源和规划局集美分局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4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18</w:t>
            </w:r>
          </w:p>
        </w:tc>
        <w:tc>
          <w:tcPr>
            <w:tcW w:w="15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厦门市自然资源和规划局直属分局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4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27</w:t>
            </w:r>
          </w:p>
        </w:tc>
        <w:tc>
          <w:tcPr>
            <w:tcW w:w="155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27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厦门市自然资源和规划局同安分局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17</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厦门市自然资源和规划局翔安分局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17</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17</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厦门市自然资源和规划局海沧分局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18</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厦门市湖里自然资源所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11</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厦门市思明自然资源所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9</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厦门市集美第一自然资源所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11</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门市集美第二自然资源所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12</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12</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厦门市同安第一自然资源所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18</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厦门市同安第二自然资源所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16</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厦门市翔安第一自然资源所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13</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厦门市翔安第二自然资源所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16</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厦门市海沧自然资源所</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11</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10</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厦门市测绘与基础地理信息中心</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66</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61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厦门市不动产登记中心</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155</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131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厦门规划展览馆</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9</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厦门市自然资源和不动产权属档案中心</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30</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29</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0" w:type="dxa"/>
            <w:bottom w:w="0" w:type="dxa"/>
            <w:right w:w="0" w:type="dxa"/>
          </w:tblCellMar>
        </w:tblPrEx>
        <w:trPr>
          <w:jc w:val="center"/>
        </w:trPr>
        <w:tc>
          <w:tcPr>
            <w:tcW w:w="430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厦门大屿岛白鹭自然保护区事务中心</w:t>
            </w:r>
          </w:p>
        </w:tc>
        <w:tc>
          <w:tcPr>
            <w:tcW w:w="1580" w:type="dxa"/>
            <w:tcBorders>
              <w:top w:val="outset" w:color="000000" w:sz="6" w:space="0"/>
              <w:left w:val="outset" w:color="000000" w:sz="6" w:space="0"/>
              <w:bottom w:val="outset" w:color="000000" w:sz="6" w:space="0"/>
              <w:right w:val="outset" w:color="000000" w:sz="6" w:space="0"/>
            </w:tcBorders>
            <w:shd w:val="clear" w:color="auto" w:fill="FFFFFF"/>
          </w:tcPr>
          <w:p>
            <w:pPr>
              <w:widowControl/>
              <w:spacing w:before="240" w:after="240"/>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财政拨款</w:t>
            </w:r>
          </w:p>
        </w:tc>
        <w:tc>
          <w:tcPr>
            <w:tcW w:w="1539" w:type="dxa"/>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15</w:t>
            </w:r>
          </w:p>
        </w:tc>
        <w:tc>
          <w:tcPr>
            <w:tcW w:w="1567"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tabs>
                <w:tab w:val="left" w:pos="7513"/>
              </w:tabs>
              <w:adjustRightInd w:val="0"/>
              <w:snapToGrid w:val="0"/>
              <w:spacing w:line="560" w:lineRule="exact"/>
              <w:jc w:val="center"/>
              <w:rPr>
                <w:rFonts w:ascii="仿宋_GB2312" w:hAnsi="宋体" w:eastAsia="仿宋_GB2312" w:cs="宋体"/>
                <w:color w:val="555555"/>
                <w:kern w:val="0"/>
                <w:sz w:val="24"/>
                <w:szCs w:val="24"/>
              </w:rPr>
            </w:pPr>
            <w:r>
              <w:rPr>
                <w:rFonts w:hint="eastAsia" w:ascii="仿宋_GB2312" w:hAnsi="宋体" w:eastAsia="仿宋_GB2312" w:cs="宋体"/>
                <w:color w:val="555555"/>
                <w:kern w:val="0"/>
                <w:sz w:val="24"/>
                <w:szCs w:val="24"/>
              </w:rPr>
              <w:t>14</w:t>
            </w:r>
          </w:p>
        </w:tc>
      </w:tr>
    </w:tbl>
    <w:p>
      <w:pPr>
        <w:tabs>
          <w:tab w:val="left" w:pos="7513"/>
        </w:tabs>
        <w:adjustRightInd w:val="0"/>
        <w:snapToGrid w:val="0"/>
        <w:spacing w:line="560" w:lineRule="exact"/>
        <w:ind w:firstLine="320" w:firstLineChars="200"/>
        <w:rPr>
          <w:rFonts w:ascii="黑体" w:hAnsi="黑体" w:eastAsia="黑体" w:cs="宋体"/>
          <w:color w:val="555555"/>
          <w:kern w:val="0"/>
          <w:sz w:val="32"/>
          <w:szCs w:val="32"/>
        </w:rPr>
      </w:pPr>
      <w:r>
        <w:rPr>
          <w:rFonts w:hint="eastAsia" w:ascii="宋体" w:hAnsi="宋体" w:eastAsia="宋体" w:cs="宋体"/>
          <w:color w:val="555555"/>
          <w:kern w:val="0"/>
          <w:sz w:val="16"/>
          <w:szCs w:val="16"/>
        </w:rPr>
        <w:t>　   　</w:t>
      </w:r>
      <w:r>
        <w:rPr>
          <w:rFonts w:hint="eastAsia" w:ascii="黑体" w:hAnsi="黑体" w:eastAsia="黑体" w:cs="宋体"/>
          <w:color w:val="555555"/>
          <w:kern w:val="0"/>
          <w:sz w:val="32"/>
          <w:szCs w:val="32"/>
        </w:rPr>
        <w:t>三、部门主要工作任务</w:t>
      </w:r>
    </w:p>
    <w:p>
      <w:pPr>
        <w:widowControl/>
        <w:shd w:val="clear" w:color="auto" w:fill="FFFFFF"/>
        <w:spacing w:before="240" w:after="240" w:line="56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2021年是中国共产党成立100周年</w:t>
      </w:r>
      <w:bookmarkStart w:id="0" w:name="_GoBack"/>
      <w:bookmarkEnd w:id="0"/>
      <w:r>
        <w:rPr>
          <w:rFonts w:hint="eastAsia" w:ascii="仿宋_GB2312" w:hAnsi="仿宋" w:eastAsia="仿宋_GB2312" w:cs="宋体"/>
          <w:kern w:val="0"/>
          <w:sz w:val="32"/>
          <w:szCs w:val="32"/>
        </w:rPr>
        <w:t>，是第二个百年奋斗目标和“十四五”规划的开局之年，也是厦门经济特区建设40周年，我局将锚定市委十二届十二次全会关于我市“十四五”时期发展主要目标和2035年远景目标，围绕市委市政府“创新发展年”，以“改革创新、融合发展”为主题，做好“空间”文章，锐意改革、攻坚克难、争先进位，主动服务新发展格局，不断提高资源规划领域治理体系和治理能力现代化水平，为全市发展大局提供有力的要素支撑和服务保障。围绕上述任务，重点抓好以下工作：</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一）突出规划统筹引领，构建规划实施传导全链条体系，编好“空间预算”。一是坚持规划引领加快项目落地。二是加快总体规划编制报批。三是注重历史文化保护。四是推进专项规划和片区规划编制。五是建立规划编审分离和后评估制度，提升规划的科学性和严肃性，从规划立项、编制、审批、评估四个方面建立“编、审、管、督”一体化管理机制，开展第三方批前审查和实施评估，并定期向市规委会报告评估情况。</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突出资源要素保障，围绕扩增量优存量和招商引资，做好“空间配置”。一是加强同省级部门的沟通和争取。二是加快盘活存量用地。三是有序开展土地供应。四是坚决抓好征收工作。五是持续创新供地政策。</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（三）突出生态保护修复，践行绿水青山就是金山银山理念，管好“空间保护”。一是持续提升治理能力。二是加强耕地保护。三是继续做好生态修复与治理。四是加强自然资源综合执法。</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（四）突出事业基础夯实，辩证处理好当下和长远的关系，打好“空间基础”。一是提高法治建设水平。二是持续提升测绘管理服务水平。三是提升信息化水平。四是抓好基础性常态化工作。</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（五）突出政治机关建设，全力推动全面从严治党主体责任落实。一是坚决做到“两个维护”。二是压紧压实主体责任。三是夯实基层党组织基础。四是持续强化作风建设。五是健全人才发展体制机制。</w:t>
      </w:r>
    </w:p>
    <w:p>
      <w:pPr>
        <w:widowControl/>
        <w:shd w:val="clear" w:color="auto" w:fill="FFFFFF"/>
        <w:spacing w:before="240" w:after="240" w:line="560" w:lineRule="exact"/>
        <w:jc w:val="center"/>
        <w:rPr>
          <w:rFonts w:ascii="黑体" w:hAnsi="黑体" w:eastAsia="黑体" w:cs="宋体"/>
          <w:kern w:val="0"/>
          <w:sz w:val="32"/>
          <w:szCs w:val="32"/>
        </w:rPr>
      </w:pPr>
      <w:r>
        <w:rPr>
          <w:rFonts w:hint="eastAsia" w:ascii="黑体" w:hAnsi="黑体" w:eastAsia="黑体" w:cs="宋体"/>
          <w:kern w:val="0"/>
          <w:sz w:val="32"/>
          <w:szCs w:val="32"/>
        </w:rPr>
        <w:t>第二部分  2021年部门预算说明</w:t>
      </w:r>
    </w:p>
    <w:p>
      <w:pPr>
        <w:widowControl/>
        <w:shd w:val="clear" w:color="auto" w:fill="FFFFFF"/>
        <w:spacing w:before="240" w:after="240" w:line="560" w:lineRule="exact"/>
        <w:jc w:val="left"/>
        <w:rPr>
          <w:rFonts w:ascii="黑体" w:hAnsi="黑体" w:eastAsia="黑体"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　一、2021年部门预算收支总体情况</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根据预算管理的有关规定，部门的全部收入和支出均纳入部门预算管理。</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（一）厦门市自然资源和规划局2021年部门收入预算为70,094.65万元。比2020年预算数增加14,305.80万元，增长25.64％，具体情况如下：</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1.财政拨款收入70,094.65万元，其中一般公共预算拨款收入61,594.65万元，政府性基金拨款收入8,500万元；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2. 财政专户管理的事业收入0万元；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3. 事业收入(含批准留用) 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4.事业单位经营收入0万元；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5.上级补助收入0万元；</w:t>
      </w:r>
    </w:p>
    <w:p>
      <w:pPr>
        <w:widowControl/>
        <w:shd w:val="clear" w:color="auto" w:fill="FFFFFF"/>
        <w:spacing w:before="240" w:after="240" w:line="56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6.附属单位上缴收入0万元；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7.历年结余0万元；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8.其他收入0万元；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9.其他资金0万元。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（二）厦门市自然资源和规划局2021年部门支出预算为70,094.65万元。具体情况如下：</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1.基本支出26,381.07万元，其中，人员支出20,813.57万元，公用支出5,567.5万元；</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2.项目支出17,651.4万元；</w:t>
      </w:r>
    </w:p>
    <w:p>
      <w:pPr>
        <w:widowControl/>
        <w:shd w:val="clear" w:color="auto" w:fill="FFFFFF"/>
        <w:spacing w:before="240" w:after="240" w:line="56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3. 市对区转移支付支出26,062.18万元；</w:t>
      </w:r>
    </w:p>
    <w:p>
      <w:pPr>
        <w:widowControl/>
        <w:shd w:val="clear" w:color="auto" w:fill="FFFFFF"/>
        <w:spacing w:before="240" w:after="240" w:line="56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4、事业单位经营支出0万元。</w:t>
      </w:r>
    </w:p>
    <w:p>
      <w:pPr>
        <w:widowControl/>
        <w:shd w:val="clear" w:color="auto" w:fill="FFFFFF"/>
        <w:spacing w:before="240" w:after="240" w:line="560" w:lineRule="exact"/>
        <w:jc w:val="left"/>
        <w:rPr>
          <w:rFonts w:ascii="黑体" w:hAnsi="黑体" w:eastAsia="黑体" w:cs="宋体"/>
          <w:kern w:val="0"/>
          <w:sz w:val="32"/>
          <w:szCs w:val="32"/>
        </w:rPr>
      </w:pPr>
      <w:r>
        <w:rPr>
          <w:rFonts w:hint="eastAsia" w:ascii="仿宋_GB2312" w:hAnsi="仿宋" w:eastAsia="仿宋_GB2312" w:cs="宋体"/>
          <w:kern w:val="0"/>
          <w:sz w:val="32"/>
          <w:szCs w:val="32"/>
        </w:rPr>
        <w:t>　　</w:t>
      </w:r>
      <w:r>
        <w:rPr>
          <w:rFonts w:hint="eastAsia" w:ascii="黑体" w:hAnsi="黑体" w:eastAsia="黑体" w:cs="宋体"/>
          <w:kern w:val="0"/>
          <w:sz w:val="32"/>
          <w:szCs w:val="32"/>
        </w:rPr>
        <w:t>二、一般公共预算财政拨款支出预算情况</w:t>
      </w:r>
    </w:p>
    <w:p>
      <w:pPr>
        <w:widowControl/>
        <w:shd w:val="clear" w:color="auto" w:fill="FFFFFF"/>
        <w:spacing w:before="240" w:after="240" w:line="56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2021年度一般公共预算支出</w:t>
      </w:r>
      <w:r>
        <w:rPr>
          <w:rFonts w:ascii="仿宋_GB2312" w:hAnsi="仿宋" w:eastAsia="仿宋_GB2312" w:cs="宋体"/>
          <w:kern w:val="0"/>
          <w:sz w:val="32"/>
          <w:szCs w:val="32"/>
        </w:rPr>
        <w:t>61</w:t>
      </w:r>
      <w:r>
        <w:rPr>
          <w:rFonts w:hint="eastAsia" w:ascii="仿宋_GB2312" w:hAnsi="仿宋" w:eastAsia="仿宋_GB2312" w:cs="宋体"/>
          <w:kern w:val="0"/>
          <w:sz w:val="32"/>
          <w:szCs w:val="32"/>
        </w:rPr>
        <w:t>,</w:t>
      </w:r>
      <w:r>
        <w:rPr>
          <w:rFonts w:ascii="仿宋_GB2312" w:hAnsi="仿宋" w:eastAsia="仿宋_GB2312" w:cs="宋体"/>
          <w:kern w:val="0"/>
          <w:sz w:val="32"/>
          <w:szCs w:val="32"/>
        </w:rPr>
        <w:t>594.65</w:t>
      </w:r>
      <w:r>
        <w:rPr>
          <w:rFonts w:hint="eastAsia" w:ascii="仿宋_GB2312" w:hAnsi="仿宋" w:eastAsia="仿宋_GB2312" w:cs="宋体"/>
          <w:kern w:val="0"/>
          <w:sz w:val="32"/>
          <w:szCs w:val="32"/>
        </w:rPr>
        <w:t xml:space="preserve">万元，比2020年预算数增加7,105.80万元，增长13.04%，主要是由于新增鳌冠海域岸线保护和生态综合整治（鳌冠片区海域修复）工程（第一笔）、轨道平衡用地动态维护等专项。支出项目(按项级科目分类统计)包括： </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一）其他科技条件与服务支出623.40万元。主要用于建设厦门市国土空间“一张图”实施监督系统、厦门市建设项目全链条风险防控管理信息系统、厦门市土地房屋征收工作信息系统（一期）、商品房预售资金监管及保障性安居工程销售备案管理。</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（二）行政单位离退休1,835.91万元。主要用于行政单位及参公事业单位离退休人员的费用支出。</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（三）事业单位离退休346.08万元。主要用于其他事业单位离退休人员的费用支出。</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（四）机关事业单位基本养老保险缴费支出1,001.78万元，用于缴纳机关事业单位基本养老保险费用。</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（五）机关事业单位职业年金缴费支出50.92万元，用于缴纳机关事业单位职业年金。</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（六）行政单位医疗369.51万元。主要用于行政单位医疗支出。</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（七）事业单位医疗52.09万元。主要用于事业单位医疗支出。</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（八）公务员医疗补助148.29万元。主要用于行政单位及参公事业单位的医疗补助支出。</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（九）其他行政事业单位医疗支出:24.81万元。主要用于事业单位医疗补助。</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（十）城乡社区规划与管理8,000万元。主要用于围绕国家国土空间规划改革、年度中心工作开展规划编制所需的经费。</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（十一）森林生态效益补偿2,040万元。主要用于森林生态效益林补偿（对区转移支付）。</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（十二）其他林业和草原支出222.18万元。主要用于天然商品林停伐管护补助（对区转移支付）。</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（十三）行政运行:15,654.57万元。主要用于资源规划部门行政单位（含参公事业单位）的人员经费、公用经费等基本支出。</w:t>
      </w:r>
    </w:p>
    <w:p>
      <w:pPr>
        <w:widowControl/>
        <w:shd w:val="clear" w:color="auto" w:fill="FFFFFF"/>
        <w:spacing w:before="240" w:after="240" w:line="560" w:lineRule="exact"/>
        <w:ind w:firstLine="160" w:firstLineChars="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（十四）一般行政管理事务2,630.33万元。主要用于资源规划部门的专项等项目支出。</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（十五）自然资源规划及管理661万元。主要用于保护区日常运行保障以及保护区建设与管理、自然保护区视频监控系统和保护区整合优化后勘界立标监管和生态提升等所需的经费。</w:t>
      </w:r>
    </w:p>
    <w:p>
      <w:pPr>
        <w:widowControl/>
        <w:shd w:val="clear" w:color="auto" w:fill="FFFFFF"/>
        <w:spacing w:before="240" w:after="240" w:line="56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（十六）自然资源调查与确权登记8.72万元。主要用于森林资源业务费。</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（十七）海域与海岛管理630万元。主要用于我市海域海岛管理所发生的环境整治、生态修复等费用</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仿宋" w:eastAsia="仿宋_GB2312" w:cs="宋体"/>
          <w:kern w:val="0"/>
          <w:sz w:val="32"/>
          <w:szCs w:val="32"/>
        </w:rPr>
        <w:t>　　（十八）基础测绘与地理信息监管1,800万元。主要用于全市地形图测绘以及编制各类公益地图等发生的相关费用。</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 w:hAnsi="仿宋" w:eastAsia="仿宋" w:cs="宋体"/>
          <w:color w:val="555555"/>
          <w:kern w:val="0"/>
          <w:sz w:val="32"/>
          <w:szCs w:val="32"/>
        </w:rPr>
        <w:t>　　</w:t>
      </w:r>
      <w:r>
        <w:rPr>
          <w:rFonts w:hint="eastAsia" w:ascii="仿宋_GB2312" w:hAnsi="仿宋" w:eastAsia="仿宋_GB2312" w:cs="宋体"/>
          <w:kern w:val="0"/>
          <w:sz w:val="32"/>
          <w:szCs w:val="32"/>
        </w:rPr>
        <w:t>（十九）事业运行（自然资源）6,897.11万元。主要用于资源规划事业单位的人员经费、公用经费等基本支出。</w:t>
      </w:r>
    </w:p>
    <w:p>
      <w:pPr>
        <w:widowControl/>
        <w:shd w:val="clear" w:color="auto" w:fill="FFFFFF"/>
        <w:spacing w:before="240" w:after="240" w:line="560" w:lineRule="exact"/>
        <w:ind w:firstLine="649" w:firstLineChars="203"/>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十）其他自然资源事务支出18,597.95万元。主要用于资源规划部门矿产资源、基础地质管理、地质灾害防治管理等560万元；不动产登记业务费765.40万元、测绘业务费192.05万元、档案管理业务费280.50万元。2021年地灾工程治理、同安区地质灾害整体搬迁（对区转移支付）13,000万元；鳌冠海域岸线保护和生态综合整治（鳌冠片区海域修复）工程（第一笔）（对区转移支付）3,800万元。</w:t>
      </w:r>
    </w:p>
    <w:p>
      <w:pPr>
        <w:widowControl/>
        <w:shd w:val="clear" w:color="auto" w:fill="FFFFFF"/>
        <w:spacing w:before="240" w:after="240" w:line="560" w:lineRule="exact"/>
        <w:ind w:firstLine="330"/>
        <w:jc w:val="left"/>
        <w:rPr>
          <w:rFonts w:ascii="黑体" w:hAnsi="黑体" w:eastAsia="黑体" w:cs="宋体"/>
          <w:color w:val="555555"/>
          <w:kern w:val="0"/>
          <w:sz w:val="32"/>
          <w:szCs w:val="32"/>
        </w:rPr>
      </w:pPr>
      <w:r>
        <w:rPr>
          <w:rFonts w:hint="eastAsia" w:ascii="黑体" w:hAnsi="黑体" w:eastAsia="黑体" w:cs="宋体"/>
          <w:color w:val="555555"/>
          <w:kern w:val="0"/>
          <w:sz w:val="32"/>
          <w:szCs w:val="32"/>
        </w:rPr>
        <w:t>　　三、政府性基金预算财政拨款支出情况</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宋体" w:hAnsi="宋体" w:eastAsia="宋体" w:cs="宋体"/>
          <w:color w:val="555555"/>
          <w:kern w:val="0"/>
          <w:sz w:val="16"/>
          <w:szCs w:val="16"/>
        </w:rPr>
        <w:t>　</w:t>
      </w:r>
      <w:r>
        <w:rPr>
          <w:rFonts w:hint="eastAsia" w:ascii="仿宋_GB2312" w:hAnsi="宋体" w:eastAsia="仿宋_GB2312" w:cs="宋体"/>
          <w:color w:val="555555"/>
          <w:kern w:val="0"/>
          <w:sz w:val="32"/>
          <w:szCs w:val="32"/>
        </w:rPr>
        <w:t xml:space="preserve">　 </w:t>
      </w:r>
      <w:r>
        <w:rPr>
          <w:rFonts w:hint="eastAsia" w:ascii="仿宋_GB2312" w:hAnsi="仿宋" w:eastAsia="仿宋_GB2312" w:cs="宋体"/>
          <w:kern w:val="0"/>
          <w:sz w:val="32"/>
          <w:szCs w:val="32"/>
        </w:rPr>
        <w:t>2021年度政府性基金支出8,500万元。比2020年预算数增加7200万元，增长553.85%，主要是由于新增鳌冠海域岸线保护和生态综合整治（鳌冠片区海域修复）工程（第二笔）（对区转移支付）增加7,000万元，市本级土地出让收入需缴纳的合同印花税增加200万元。支出项目（按项级科目分类统计）：</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（一）土地出让业务支出1,500万元。用于市本级土地出让收入需缴纳的合同印花税。</w:t>
      </w:r>
    </w:p>
    <w:p>
      <w:pPr>
        <w:widowControl/>
        <w:shd w:val="clear" w:color="auto" w:fill="FFFFFF"/>
        <w:spacing w:before="240" w:after="240" w:line="560" w:lineRule="exact"/>
        <w:ind w:firstLine="480" w:firstLineChars="15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（二）农村基础设施建设支出7,000万元。主要用于鳌冠海域岸线保护和生态综合整治（鳌冠片区海域修复）工程（第二笔）（对区转移支付）。</w:t>
      </w:r>
    </w:p>
    <w:p>
      <w:pPr>
        <w:widowControl/>
        <w:shd w:val="clear" w:color="auto" w:fill="FFFFFF"/>
        <w:spacing w:before="240" w:after="240" w:line="560" w:lineRule="exact"/>
        <w:ind w:firstLine="330"/>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　</w:t>
      </w:r>
      <w:r>
        <w:rPr>
          <w:rFonts w:hint="eastAsia" w:ascii="黑体" w:hAnsi="黑体" w:eastAsia="黑体" w:cs="宋体"/>
          <w:color w:val="555555"/>
          <w:kern w:val="0"/>
          <w:sz w:val="32"/>
          <w:szCs w:val="32"/>
        </w:rPr>
        <w:t>四、“三公”经费财政拨款预算情况</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宋体" w:eastAsia="仿宋_GB2312" w:cs="宋体"/>
          <w:color w:val="555555"/>
          <w:kern w:val="0"/>
          <w:sz w:val="32"/>
          <w:szCs w:val="32"/>
        </w:rPr>
        <w:t>　</w:t>
      </w:r>
      <w:r>
        <w:rPr>
          <w:rFonts w:hint="eastAsia" w:ascii="仿宋_GB2312" w:hAnsi="仿宋" w:eastAsia="仿宋_GB2312" w:cs="宋体"/>
          <w:kern w:val="0"/>
          <w:sz w:val="32"/>
          <w:szCs w:val="32"/>
        </w:rPr>
        <w:t>　厦门市自然资源和规划局部门2021年“三公”经费财政拨款预算数为70.72万元，其中：因公出国（境）经费10万元，公务接待费18.62万元，公务用车运行费42.10万元。具体情况如下：</w:t>
      </w:r>
    </w:p>
    <w:p>
      <w:pPr>
        <w:widowControl/>
        <w:shd w:val="clear" w:color="auto" w:fill="FFFFFF"/>
        <w:spacing w:before="240" w:after="240" w:line="560" w:lineRule="exact"/>
        <w:ind w:firstLine="315"/>
        <w:jc w:val="left"/>
        <w:rPr>
          <w:rFonts w:ascii="仿宋_GB2312" w:hAnsi="仿宋" w:eastAsia="仿宋_GB2312" w:cs="宋体"/>
          <w:kern w:val="0"/>
          <w:sz w:val="32"/>
          <w:szCs w:val="32"/>
        </w:rPr>
      </w:pPr>
      <w:r>
        <w:rPr>
          <w:rFonts w:hint="eastAsia" w:ascii="仿宋_GB2312" w:hAnsi="宋体" w:eastAsia="仿宋_GB2312" w:cs="宋体"/>
          <w:color w:val="555555"/>
          <w:kern w:val="0"/>
          <w:sz w:val="32"/>
          <w:szCs w:val="32"/>
        </w:rPr>
        <w:t>　</w:t>
      </w:r>
      <w:r>
        <w:rPr>
          <w:rFonts w:hint="eastAsia" w:ascii="仿宋_GB2312" w:hAnsi="仿宋" w:eastAsia="仿宋_GB2312" w:cs="宋体"/>
          <w:kern w:val="0"/>
          <w:sz w:val="32"/>
          <w:szCs w:val="32"/>
        </w:rPr>
        <w:t>（一）因公出国（境）经费</w:t>
      </w:r>
    </w:p>
    <w:p>
      <w:pPr>
        <w:widowControl/>
        <w:shd w:val="clear" w:color="auto" w:fill="FFFFFF"/>
        <w:spacing w:before="240" w:after="240" w:line="560" w:lineRule="exact"/>
        <w:ind w:firstLine="633" w:firstLineChars="198"/>
        <w:jc w:val="left"/>
        <w:rPr>
          <w:rFonts w:ascii="仿宋_GB2312" w:hAnsi="仿宋" w:eastAsia="仿宋_GB2312" w:cs="宋体"/>
          <w:kern w:val="0"/>
          <w:sz w:val="32"/>
          <w:szCs w:val="32"/>
        </w:rPr>
      </w:pPr>
      <w:r>
        <w:rPr>
          <w:rFonts w:hint="eastAsia" w:ascii="仿宋_GB2312" w:hAnsi="仿宋" w:eastAsia="仿宋_GB2312" w:cs="宋体"/>
          <w:kern w:val="0"/>
          <w:sz w:val="32"/>
          <w:szCs w:val="32"/>
        </w:rPr>
        <w:t>2021年预算安排10万元。主要用于拟往新加坡考察学习国土空间规划或招商推介等。与上年预算相比下降41.18%，主要原因是:出国组团减少。</w:t>
      </w:r>
    </w:p>
    <w:p>
      <w:pPr>
        <w:widowControl/>
        <w:shd w:val="clear" w:color="auto" w:fill="FFFFFF"/>
        <w:spacing w:before="240" w:after="240" w:line="560" w:lineRule="exact"/>
        <w:ind w:firstLine="318"/>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（二）公务接待费</w:t>
      </w:r>
    </w:p>
    <w:p>
      <w:pPr>
        <w:widowControl/>
        <w:shd w:val="clear" w:color="auto" w:fill="FFFFFF"/>
        <w:spacing w:before="240" w:after="240" w:line="560" w:lineRule="exact"/>
        <w:ind w:firstLine="318"/>
        <w:jc w:val="left"/>
        <w:rPr>
          <w:rFonts w:ascii="仿宋_GB2312" w:hAnsi="仿宋" w:eastAsia="仿宋_GB2312" w:cs="宋体"/>
          <w:kern w:val="0"/>
          <w:sz w:val="32"/>
          <w:szCs w:val="32"/>
        </w:rPr>
      </w:pPr>
      <w:r>
        <w:rPr>
          <w:rFonts w:hint="eastAsia" w:ascii="仿宋_GB2312" w:hAnsi="仿宋" w:eastAsia="仿宋_GB2312" w:cs="宋体"/>
          <w:kern w:val="0"/>
          <w:sz w:val="32"/>
          <w:szCs w:val="32"/>
        </w:rPr>
        <w:t>2021年预算安排18.62万元。主要用于上级单位及相关各业务单位等方面的接待活动。与上年预算相比下降1.32%，主要原因是: 接待活动减少。</w:t>
      </w:r>
    </w:p>
    <w:p>
      <w:pPr>
        <w:widowControl/>
        <w:shd w:val="clear" w:color="auto" w:fill="FFFFFF"/>
        <w:spacing w:before="240" w:after="240" w:line="560" w:lineRule="exact"/>
        <w:ind w:firstLine="315"/>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（三）公务用车购置及运行费</w:t>
      </w:r>
    </w:p>
    <w:p>
      <w:pPr>
        <w:widowControl/>
        <w:shd w:val="clear" w:color="auto" w:fill="FFFFFF"/>
        <w:spacing w:before="240" w:after="240" w:line="560" w:lineRule="exact"/>
        <w:ind w:firstLine="315"/>
        <w:jc w:val="left"/>
        <w:rPr>
          <w:rFonts w:ascii="仿宋_GB2312" w:hAnsi="仿宋" w:eastAsia="仿宋_GB2312" w:cs="宋体"/>
          <w:kern w:val="0"/>
          <w:sz w:val="32"/>
          <w:szCs w:val="32"/>
        </w:rPr>
      </w:pPr>
      <w:r>
        <w:rPr>
          <w:rFonts w:hint="eastAsia" w:ascii="仿宋_GB2312" w:hAnsi="宋体" w:eastAsia="仿宋_GB2312" w:cs="宋体"/>
          <w:color w:val="555555"/>
          <w:kern w:val="0"/>
          <w:sz w:val="32"/>
          <w:szCs w:val="32"/>
        </w:rPr>
        <w:t>　</w:t>
      </w:r>
      <w:r>
        <w:rPr>
          <w:rFonts w:hint="eastAsia" w:ascii="仿宋_GB2312" w:hAnsi="仿宋" w:eastAsia="仿宋_GB2312" w:cs="宋体"/>
          <w:kern w:val="0"/>
          <w:sz w:val="32"/>
          <w:szCs w:val="32"/>
        </w:rPr>
        <w:t>2021年预算安排42.10万元，其中：公务用车运行费42.10万元，主要用于公务用车燃油、维修、保险等方面支出。与上年预算相比下降</w:t>
      </w:r>
      <w:r>
        <w:rPr>
          <w:rFonts w:hint="eastAsia" w:ascii="仿宋_GB2312" w:hAnsi="仿宋" w:eastAsia="仿宋_GB2312" w:cs="宋体"/>
          <w:color w:val="000000" w:themeColor="text1"/>
          <w:kern w:val="0"/>
          <w:sz w:val="32"/>
          <w:szCs w:val="32"/>
        </w:rPr>
        <w:t>52.77%，</w:t>
      </w:r>
      <w:r>
        <w:rPr>
          <w:rFonts w:hint="eastAsia" w:ascii="仿宋_GB2312" w:hAnsi="仿宋" w:eastAsia="仿宋_GB2312" w:cs="宋体"/>
          <w:kern w:val="0"/>
          <w:sz w:val="32"/>
          <w:szCs w:val="32"/>
        </w:rPr>
        <w:t>主要原因是:2021年没有购置公务用车。</w:t>
      </w:r>
    </w:p>
    <w:p>
      <w:pPr>
        <w:widowControl/>
        <w:shd w:val="clear" w:color="auto" w:fill="FFFFFF"/>
        <w:spacing w:before="240" w:after="240" w:line="560" w:lineRule="exact"/>
        <w:jc w:val="left"/>
        <w:rPr>
          <w:rFonts w:ascii="黑体" w:hAnsi="黑体" w:eastAsia="黑体" w:cs="宋体"/>
          <w:color w:val="555555"/>
          <w:kern w:val="0"/>
          <w:sz w:val="32"/>
          <w:szCs w:val="32"/>
        </w:rPr>
      </w:pPr>
      <w:r>
        <w:rPr>
          <w:rFonts w:hint="eastAsia" w:ascii="宋体" w:hAnsi="宋体" w:eastAsia="宋体" w:cs="宋体"/>
          <w:color w:val="555555"/>
          <w:kern w:val="0"/>
          <w:sz w:val="16"/>
          <w:szCs w:val="16"/>
        </w:rPr>
        <w:t>　　</w:t>
      </w:r>
      <w:r>
        <w:rPr>
          <w:rFonts w:hint="eastAsia" w:ascii="黑体" w:hAnsi="黑体" w:eastAsia="黑体" w:cs="宋体"/>
          <w:color w:val="555555"/>
          <w:kern w:val="0"/>
          <w:sz w:val="32"/>
          <w:szCs w:val="32"/>
        </w:rPr>
        <w:t>五、其他重要事项的情况说明</w:t>
      </w:r>
    </w:p>
    <w:p>
      <w:pPr>
        <w:widowControl/>
        <w:shd w:val="clear" w:color="auto" w:fill="FFFFFF"/>
        <w:spacing w:before="240" w:after="240" w:line="560" w:lineRule="exact"/>
        <w:ind w:firstLine="315"/>
        <w:jc w:val="left"/>
        <w:rPr>
          <w:rFonts w:ascii="黑体" w:hAnsi="黑体" w:eastAsia="黑体" w:cs="宋体"/>
          <w:color w:val="555555"/>
          <w:kern w:val="0"/>
          <w:sz w:val="32"/>
          <w:szCs w:val="32"/>
        </w:rPr>
      </w:pPr>
      <w:r>
        <w:rPr>
          <w:rFonts w:hint="eastAsia" w:ascii="宋体" w:hAnsi="宋体" w:eastAsia="宋体" w:cs="宋体"/>
          <w:color w:val="555555"/>
          <w:kern w:val="0"/>
          <w:sz w:val="16"/>
          <w:szCs w:val="16"/>
        </w:rPr>
        <w:t>　</w:t>
      </w:r>
      <w:r>
        <w:rPr>
          <w:rFonts w:hint="eastAsia" w:ascii="黑体" w:hAnsi="黑体" w:eastAsia="黑体" w:cs="宋体"/>
          <w:color w:val="555555"/>
          <w:kern w:val="0"/>
          <w:sz w:val="32"/>
          <w:szCs w:val="32"/>
        </w:rPr>
        <w:t>　（一）机关运行经费</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宋体" w:eastAsia="仿宋_GB2312" w:cs="宋体"/>
          <w:color w:val="555555"/>
          <w:kern w:val="0"/>
          <w:sz w:val="32"/>
          <w:szCs w:val="32"/>
        </w:rPr>
        <w:t>　</w:t>
      </w:r>
      <w:r>
        <w:rPr>
          <w:rFonts w:hint="eastAsia" w:ascii="仿宋_GB2312" w:hAnsi="仿宋" w:eastAsia="仿宋_GB2312" w:cs="宋体"/>
          <w:kern w:val="0"/>
          <w:sz w:val="32"/>
          <w:szCs w:val="32"/>
        </w:rPr>
        <w:t>　2021年厦门市自然资源和规划局部门的机关运行经费财政拨款预算5479.11万元。比2020年预算增加43.90万元，减少0.79%。</w:t>
      </w:r>
    </w:p>
    <w:p>
      <w:pPr>
        <w:widowControl/>
        <w:shd w:val="clear" w:color="auto" w:fill="FFFFFF"/>
        <w:spacing w:before="240" w:after="240" w:line="560" w:lineRule="exact"/>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　　</w:t>
      </w:r>
      <w:r>
        <w:rPr>
          <w:rFonts w:hint="eastAsia" w:ascii="黑体" w:hAnsi="黑体" w:eastAsia="黑体" w:cs="宋体"/>
          <w:color w:val="555555"/>
          <w:kern w:val="0"/>
          <w:sz w:val="32"/>
          <w:szCs w:val="32"/>
        </w:rPr>
        <w:t>（二）政府采购情况</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宋体" w:eastAsia="仿宋_GB2312" w:cs="宋体"/>
          <w:color w:val="555555"/>
          <w:kern w:val="0"/>
          <w:sz w:val="32"/>
          <w:szCs w:val="32"/>
        </w:rPr>
        <w:t>　</w:t>
      </w:r>
      <w:r>
        <w:rPr>
          <w:rFonts w:hint="eastAsia" w:ascii="仿宋_GB2312" w:hAnsi="仿宋" w:eastAsia="仿宋_GB2312" w:cs="宋体"/>
          <w:kern w:val="0"/>
          <w:sz w:val="32"/>
          <w:szCs w:val="32"/>
        </w:rPr>
        <w:t>　2021年厦门市自然资源和规划局部门政府采购预算总额7,782.27万元，其中：政府采购货物预算5,517.27万元，政府采购服务预算2,265万元。</w:t>
      </w:r>
    </w:p>
    <w:p>
      <w:pPr>
        <w:widowControl/>
        <w:shd w:val="clear" w:color="auto" w:fill="FFFFFF"/>
        <w:spacing w:before="240" w:after="240" w:line="560" w:lineRule="exact"/>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　　</w:t>
      </w:r>
      <w:r>
        <w:rPr>
          <w:rFonts w:hint="eastAsia" w:ascii="黑体" w:hAnsi="黑体" w:eastAsia="黑体" w:cs="宋体"/>
          <w:color w:val="555555"/>
          <w:kern w:val="0"/>
          <w:sz w:val="32"/>
          <w:szCs w:val="32"/>
        </w:rPr>
        <w:t>（三）国有资产占有使用情况</w:t>
      </w:r>
    </w:p>
    <w:p>
      <w:pPr>
        <w:widowControl/>
        <w:shd w:val="clear" w:color="auto" w:fill="FFFFFF"/>
        <w:spacing w:before="240" w:after="240" w:line="560" w:lineRule="exact"/>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　　</w:t>
      </w:r>
      <w:r>
        <w:rPr>
          <w:rFonts w:hint="eastAsia" w:ascii="仿宋_GB2312" w:hAnsi="仿宋" w:eastAsia="仿宋_GB2312" w:cs="宋体"/>
          <w:kern w:val="0"/>
          <w:sz w:val="32"/>
          <w:szCs w:val="32"/>
        </w:rPr>
        <w:t>截至2020年12月31日，厦门市自然资源和规划局部门所属各预算单位共有车辆14辆，单位价值50万以上通用设备0台（套），单位价值100万以上专用设备1台（套）。</w:t>
      </w:r>
    </w:p>
    <w:p>
      <w:pPr>
        <w:widowControl/>
        <w:shd w:val="clear" w:color="auto" w:fill="FFFFFF"/>
        <w:spacing w:before="240" w:after="240" w:line="560" w:lineRule="exact"/>
        <w:jc w:val="left"/>
        <w:rPr>
          <w:rFonts w:ascii="仿宋_GB2312" w:hAnsi="宋体" w:eastAsia="仿宋_GB2312" w:cs="宋体"/>
          <w:color w:val="555555"/>
          <w:kern w:val="0"/>
          <w:sz w:val="32"/>
          <w:szCs w:val="32"/>
        </w:rPr>
      </w:pPr>
      <w:r>
        <w:rPr>
          <w:rFonts w:hint="eastAsia" w:ascii="仿宋_GB2312" w:hAnsi="宋体" w:eastAsia="仿宋_GB2312" w:cs="宋体"/>
          <w:color w:val="555555"/>
          <w:kern w:val="0"/>
          <w:sz w:val="32"/>
          <w:szCs w:val="32"/>
        </w:rPr>
        <w:t>　　</w:t>
      </w:r>
      <w:r>
        <w:rPr>
          <w:rFonts w:hint="eastAsia" w:ascii="黑体" w:hAnsi="黑体" w:eastAsia="黑体" w:cs="宋体"/>
          <w:color w:val="555555"/>
          <w:kern w:val="0"/>
          <w:sz w:val="32"/>
          <w:szCs w:val="32"/>
        </w:rPr>
        <w:t>（四）绩效目标设置情况</w:t>
      </w:r>
    </w:p>
    <w:p>
      <w:pPr>
        <w:widowControl/>
        <w:shd w:val="clear" w:color="auto" w:fill="FFFFFF"/>
        <w:spacing w:before="240" w:after="240" w:line="560" w:lineRule="exact"/>
        <w:jc w:val="left"/>
        <w:rPr>
          <w:rFonts w:ascii="仿宋_GB2312" w:hAnsi="仿宋" w:eastAsia="仿宋_GB2312" w:cs="宋体"/>
          <w:kern w:val="0"/>
          <w:sz w:val="32"/>
          <w:szCs w:val="32"/>
        </w:rPr>
      </w:pPr>
      <w:r>
        <w:rPr>
          <w:rFonts w:hint="eastAsia" w:ascii="仿宋_GB2312" w:hAnsi="宋体" w:eastAsia="仿宋_GB2312" w:cs="宋体"/>
          <w:color w:val="555555"/>
          <w:kern w:val="0"/>
          <w:sz w:val="32"/>
          <w:szCs w:val="32"/>
        </w:rPr>
        <w:t>　　</w:t>
      </w:r>
      <w:r>
        <w:rPr>
          <w:rFonts w:hint="eastAsia" w:ascii="仿宋_GB2312" w:hAnsi="仿宋" w:eastAsia="仿宋_GB2312" w:cs="宋体"/>
          <w:kern w:val="0"/>
          <w:sz w:val="32"/>
          <w:szCs w:val="32"/>
        </w:rPr>
        <w:t>厦门市自然资源和规划局部门2021年实行绩效目标管理的一级项目13个，涉及一般公共预算拨款31,033.58万元。</w:t>
      </w:r>
    </w:p>
    <w:p>
      <w:pPr>
        <w:tabs>
          <w:tab w:val="left" w:pos="7513"/>
        </w:tabs>
        <w:adjustRightInd w:val="0"/>
        <w:snapToGrid w:val="0"/>
        <w:spacing w:line="560" w:lineRule="exact"/>
        <w:jc w:val="center"/>
        <w:rPr>
          <w:rFonts w:ascii="黑体" w:hAnsi="黑体" w:eastAsia="黑体"/>
          <w:sz w:val="32"/>
          <w:szCs w:val="32"/>
        </w:rPr>
      </w:pPr>
      <w:r>
        <w:rPr>
          <w:rFonts w:hint="eastAsia" w:ascii="仿宋_GB2312" w:hAnsi="宋体" w:eastAsia="仿宋_GB2312" w:cs="宋体"/>
          <w:color w:val="555555"/>
          <w:kern w:val="0"/>
          <w:sz w:val="32"/>
          <w:szCs w:val="32"/>
        </w:rPr>
        <w:t>　　</w:t>
      </w:r>
      <w:r>
        <w:rPr>
          <w:rFonts w:hint="eastAsia" w:ascii="黑体" w:hAnsi="黑体" w:eastAsia="黑体"/>
          <w:sz w:val="32"/>
          <w:szCs w:val="32"/>
        </w:rPr>
        <w:t>第三部分  名词解释</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一、基本支出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指为保障机构正常运转、完成日常工作任务而发生的人员支出、对个人和家庭的补助支出和公用支出。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二、项目支出</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指在基本支出之外为完成特定行政任务和事业发展目标所发生的支出，</w:t>
      </w:r>
      <w:r>
        <w:rPr>
          <w:rFonts w:hint="eastAsia" w:ascii="仿宋_GB2312" w:hAnsi="仿宋" w:eastAsia="仿宋_GB2312"/>
          <w:sz w:val="32"/>
          <w:szCs w:val="32"/>
        </w:rPr>
        <w:t>包括部门专项、发展经费和基建项目。</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三、“三公”经费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四、机关运行经费</w:t>
      </w:r>
      <w:r>
        <w:rPr>
          <w:rFonts w:hint="eastAsia" w:ascii="楷体_GB2312" w:hAnsi="仿宋" w:eastAsia="楷体_GB2312" w:cs="宋体"/>
          <w:kern w:val="0"/>
          <w:sz w:val="32"/>
          <w:szCs w:val="32"/>
        </w:rPr>
        <w:t>：</w:t>
      </w:r>
      <w:r>
        <w:rPr>
          <w:rFonts w:hint="eastAsia" w:ascii="仿宋_GB2312" w:hAnsi="仿宋" w:eastAsia="仿宋_GB2312" w:cs="宋体"/>
          <w:kern w:val="0"/>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tabs>
          <w:tab w:val="left" w:pos="7513"/>
        </w:tabs>
        <w:adjustRightInd w:val="0"/>
        <w:snapToGrid w:val="0"/>
        <w:spacing w:line="560" w:lineRule="exact"/>
        <w:ind w:firstLine="640" w:firstLineChars="200"/>
        <w:rPr>
          <w:rFonts w:ascii="仿宋_GB2312" w:hAnsi="仿宋" w:eastAsia="仿宋_GB2312" w:cs="宋体"/>
          <w:kern w:val="0"/>
          <w:sz w:val="32"/>
          <w:szCs w:val="32"/>
        </w:rPr>
      </w:pPr>
      <w:r>
        <w:rPr>
          <w:rFonts w:hint="eastAsia" w:ascii="楷体_GB2312" w:hAnsi="仿宋" w:eastAsia="楷体_GB2312" w:cs="仿宋_GB2312"/>
          <w:sz w:val="32"/>
          <w:szCs w:val="32"/>
        </w:rPr>
        <w:t>五、其他名词解释</w:t>
      </w:r>
      <w:r>
        <w:rPr>
          <w:rFonts w:hint="eastAsia" w:ascii="仿宋_GB2312" w:hAnsi="仿宋" w:eastAsia="仿宋_GB2312" w:cs="仿宋_GB2312"/>
          <w:sz w:val="32"/>
          <w:szCs w:val="32"/>
        </w:rPr>
        <w:t>。由各部门根据实际情况予以增加说明。</w:t>
      </w:r>
    </w:p>
    <w:p>
      <w:pPr>
        <w:tabs>
          <w:tab w:val="left" w:pos="7513"/>
        </w:tabs>
        <w:adjustRightInd w:val="0"/>
        <w:snapToGrid w:val="0"/>
        <w:spacing w:line="560" w:lineRule="exact"/>
        <w:jc w:val="center"/>
        <w:rPr>
          <w:rFonts w:ascii="黑体" w:hAnsi="黑体" w:eastAsia="黑体"/>
          <w:sz w:val="32"/>
          <w:szCs w:val="32"/>
        </w:rPr>
      </w:pPr>
      <w:r>
        <w:rPr>
          <w:rFonts w:hint="eastAsia" w:ascii="黑体" w:hAnsi="黑体" w:eastAsia="黑体"/>
          <w:sz w:val="32"/>
          <w:szCs w:val="32"/>
        </w:rPr>
        <w:t>第四部分  2021年部门预算附表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一、部门收支预算总体情况表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二、部门收入预算总体情况表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三、部门支出预算总体情况表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四、财政拨款收支预算总体情况表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w:t>
      </w:r>
      <w:r>
        <w:rPr>
          <w:rFonts w:hint="eastAsia"/>
        </w:rPr>
        <w:t xml:space="preserve"> </w:t>
      </w:r>
      <w:r>
        <w:rPr>
          <w:rFonts w:hint="eastAsia" w:ascii="仿宋_GB2312" w:hAnsi="仿宋" w:eastAsia="仿宋_GB2312" w:cs="仿宋_GB2312"/>
          <w:sz w:val="32"/>
          <w:szCs w:val="32"/>
        </w:rPr>
        <w:t>一般公共预算支出情况表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六、一般公共预算基本支出情况表（经济分类款级科目）</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七、一般公共预算“三公”经费支出情况表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八、政府性基金预算支出情况表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九、市对区转移支付支出预算表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十、部门整体支出绩效目标表</w:t>
      </w:r>
    </w:p>
    <w:p>
      <w:pPr>
        <w:shd w:val="clear" w:color="auto" w:fill="FFFFFF"/>
        <w:tabs>
          <w:tab w:val="left" w:pos="7513"/>
        </w:tabs>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十一、一级项目绩效目标表</w:t>
      </w:r>
    </w:p>
    <w:p>
      <w:pPr>
        <w:widowControl/>
        <w:shd w:val="clear" w:color="auto" w:fill="FFFFFF"/>
        <w:spacing w:before="240" w:after="240" w:line="560" w:lineRule="exact"/>
        <w:jc w:val="left"/>
        <w:rPr>
          <w:rFonts w:ascii="仿宋_GB2312" w:eastAsia="仿宋_GB2312"/>
          <w:sz w:val="32"/>
          <w:szCs w:val="32"/>
        </w:rPr>
      </w:pPr>
    </w:p>
    <w:p>
      <w:pPr>
        <w:spacing w:line="56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36E31"/>
    <w:multiLevelType w:val="multilevel"/>
    <w:tmpl w:val="44936E31"/>
    <w:lvl w:ilvl="0" w:tentative="0">
      <w:start w:val="1"/>
      <w:numFmt w:val="japaneseCounting"/>
      <w:lvlText w:val="%1、"/>
      <w:lvlJc w:val="left"/>
      <w:pPr>
        <w:ind w:left="1535" w:hanging="720"/>
      </w:pPr>
      <w:rPr>
        <w:rFonts w:hint="default"/>
      </w:rPr>
    </w:lvl>
    <w:lvl w:ilvl="1" w:tentative="0">
      <w:start w:val="1"/>
      <w:numFmt w:val="lowerLetter"/>
      <w:lvlText w:val="%2)"/>
      <w:lvlJc w:val="left"/>
      <w:pPr>
        <w:ind w:left="1655" w:hanging="420"/>
      </w:pPr>
    </w:lvl>
    <w:lvl w:ilvl="2" w:tentative="0">
      <w:start w:val="1"/>
      <w:numFmt w:val="lowerRoman"/>
      <w:lvlText w:val="%3."/>
      <w:lvlJc w:val="right"/>
      <w:pPr>
        <w:ind w:left="2075" w:hanging="420"/>
      </w:pPr>
    </w:lvl>
    <w:lvl w:ilvl="3" w:tentative="0">
      <w:start w:val="1"/>
      <w:numFmt w:val="decimal"/>
      <w:lvlText w:val="%4."/>
      <w:lvlJc w:val="left"/>
      <w:pPr>
        <w:ind w:left="2495" w:hanging="420"/>
      </w:pPr>
    </w:lvl>
    <w:lvl w:ilvl="4" w:tentative="0">
      <w:start w:val="1"/>
      <w:numFmt w:val="lowerLetter"/>
      <w:lvlText w:val="%5)"/>
      <w:lvlJc w:val="left"/>
      <w:pPr>
        <w:ind w:left="2915" w:hanging="420"/>
      </w:pPr>
    </w:lvl>
    <w:lvl w:ilvl="5" w:tentative="0">
      <w:start w:val="1"/>
      <w:numFmt w:val="lowerRoman"/>
      <w:lvlText w:val="%6."/>
      <w:lvlJc w:val="right"/>
      <w:pPr>
        <w:ind w:left="3335" w:hanging="420"/>
      </w:pPr>
    </w:lvl>
    <w:lvl w:ilvl="6" w:tentative="0">
      <w:start w:val="1"/>
      <w:numFmt w:val="decimal"/>
      <w:lvlText w:val="%7."/>
      <w:lvlJc w:val="left"/>
      <w:pPr>
        <w:ind w:left="3755" w:hanging="420"/>
      </w:pPr>
    </w:lvl>
    <w:lvl w:ilvl="7" w:tentative="0">
      <w:start w:val="1"/>
      <w:numFmt w:val="lowerLetter"/>
      <w:lvlText w:val="%8)"/>
      <w:lvlJc w:val="left"/>
      <w:pPr>
        <w:ind w:left="4175" w:hanging="420"/>
      </w:pPr>
    </w:lvl>
    <w:lvl w:ilvl="8" w:tentative="0">
      <w:start w:val="1"/>
      <w:numFmt w:val="lowerRoman"/>
      <w:lvlText w:val="%9."/>
      <w:lvlJc w:val="right"/>
      <w:pPr>
        <w:ind w:left="45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lMmVjYjkyMGQwY2IyNDQzMmMzMjhhYTdjMTVjYTQifQ=="/>
  </w:docVars>
  <w:rsids>
    <w:rsidRoot w:val="0063081E"/>
    <w:rsid w:val="00017E9F"/>
    <w:rsid w:val="00050BBC"/>
    <w:rsid w:val="00057F1E"/>
    <w:rsid w:val="0009280F"/>
    <w:rsid w:val="00093E98"/>
    <w:rsid w:val="001558A0"/>
    <w:rsid w:val="0016695C"/>
    <w:rsid w:val="001A0F0F"/>
    <w:rsid w:val="001A5A60"/>
    <w:rsid w:val="0020011A"/>
    <w:rsid w:val="002644BD"/>
    <w:rsid w:val="002B2576"/>
    <w:rsid w:val="002D1CA7"/>
    <w:rsid w:val="002D6D4A"/>
    <w:rsid w:val="00317B3C"/>
    <w:rsid w:val="00342AB5"/>
    <w:rsid w:val="003724EC"/>
    <w:rsid w:val="00386A52"/>
    <w:rsid w:val="003934E1"/>
    <w:rsid w:val="003A2A32"/>
    <w:rsid w:val="003D3742"/>
    <w:rsid w:val="003F6ADD"/>
    <w:rsid w:val="00403773"/>
    <w:rsid w:val="0043213F"/>
    <w:rsid w:val="004664CF"/>
    <w:rsid w:val="004E0DA0"/>
    <w:rsid w:val="00556EBA"/>
    <w:rsid w:val="00570768"/>
    <w:rsid w:val="005A0AC4"/>
    <w:rsid w:val="005B1053"/>
    <w:rsid w:val="005C3DE5"/>
    <w:rsid w:val="005D486C"/>
    <w:rsid w:val="0063081E"/>
    <w:rsid w:val="00631144"/>
    <w:rsid w:val="006455E7"/>
    <w:rsid w:val="0067166D"/>
    <w:rsid w:val="006921DB"/>
    <w:rsid w:val="00693803"/>
    <w:rsid w:val="006947E6"/>
    <w:rsid w:val="006B506F"/>
    <w:rsid w:val="006F187A"/>
    <w:rsid w:val="00730992"/>
    <w:rsid w:val="007350F2"/>
    <w:rsid w:val="00742701"/>
    <w:rsid w:val="0075245B"/>
    <w:rsid w:val="00760121"/>
    <w:rsid w:val="00784CD1"/>
    <w:rsid w:val="007B545A"/>
    <w:rsid w:val="00802729"/>
    <w:rsid w:val="0082650C"/>
    <w:rsid w:val="00871C7B"/>
    <w:rsid w:val="008D6FE8"/>
    <w:rsid w:val="008F0498"/>
    <w:rsid w:val="00942E71"/>
    <w:rsid w:val="00986D6B"/>
    <w:rsid w:val="009F22E1"/>
    <w:rsid w:val="00A02F53"/>
    <w:rsid w:val="00A31BA3"/>
    <w:rsid w:val="00A6764F"/>
    <w:rsid w:val="00A85361"/>
    <w:rsid w:val="00A95E37"/>
    <w:rsid w:val="00AA10C9"/>
    <w:rsid w:val="00AE0739"/>
    <w:rsid w:val="00B12661"/>
    <w:rsid w:val="00B426D3"/>
    <w:rsid w:val="00B8428D"/>
    <w:rsid w:val="00BC3CE9"/>
    <w:rsid w:val="00BE7C0C"/>
    <w:rsid w:val="00C96769"/>
    <w:rsid w:val="00CE0ECF"/>
    <w:rsid w:val="00CF277C"/>
    <w:rsid w:val="00DA43AE"/>
    <w:rsid w:val="00DD58FF"/>
    <w:rsid w:val="00E04D1F"/>
    <w:rsid w:val="00E133F1"/>
    <w:rsid w:val="00E31E32"/>
    <w:rsid w:val="00E728DF"/>
    <w:rsid w:val="00EE2BF4"/>
    <w:rsid w:val="00F37B7A"/>
    <w:rsid w:val="00F9442F"/>
    <w:rsid w:val="785E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31C9-0E6A-42FF-B356-2E5AF584BE9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15</Pages>
  <Words>900</Words>
  <Characters>5136</Characters>
  <Lines>42</Lines>
  <Paragraphs>12</Paragraphs>
  <TotalTime>0</TotalTime>
  <ScaleCrop>false</ScaleCrop>
  <LinksUpToDate>false</LinksUpToDate>
  <CharactersWithSpaces>6024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2021-02-04T03:32:00Z</dcterms:created>
  <dc:creator>谢石兰</dc:creator>
  <cp:lastModifiedBy>胡菠萝</cp:lastModifiedBy>
  <cp:lastPrinted>2021-02-05T00:34:00Z</cp:lastPrinted>
  <dcterms:modified xsi:type="dcterms:W3CDTF">2024-04-16T07:58:55Z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5C381DFC25984E34ABB0EC61A71F8C83_12</vt:lpwstr>
  </property>
</Properties>
</file>