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4"/>
        </w:rPr>
      </w:pPr>
      <w:r>
        <w:rPr>
          <w:rFonts w:hint="eastAsia" w:ascii="方正小标宋简体" w:hAnsi="仿宋" w:eastAsia="方正小标宋简体" w:cs="仿宋_GB2312"/>
          <w:sz w:val="44"/>
          <w:szCs w:val="44"/>
        </w:rPr>
        <w:t>20</w:t>
      </w:r>
      <w:r>
        <w:rPr>
          <w:rFonts w:hint="eastAsia" w:ascii="方正小标宋简体" w:hAnsi="仿宋" w:eastAsia="方正小标宋简体" w:cs="仿宋_GB2312"/>
          <w:sz w:val="44"/>
          <w:szCs w:val="44"/>
          <w:lang w:val="en-US" w:eastAsia="zh-CN"/>
        </w:rPr>
        <w:t>21</w:t>
      </w:r>
      <w:r>
        <w:rPr>
          <w:rFonts w:hint="eastAsia" w:ascii="方正小标宋简体" w:hAnsi="仿宋" w:eastAsia="方正小标宋简体" w:cs="仿宋_GB2312"/>
          <w:sz w:val="44"/>
          <w:szCs w:val="44"/>
        </w:rPr>
        <w:t>年</w:t>
      </w:r>
      <w:r>
        <w:rPr>
          <w:rFonts w:hint="eastAsia" w:ascii="方正小标宋简体" w:hAnsi="仿宋" w:eastAsia="方正小标宋简体" w:cs="仿宋_GB2312"/>
          <w:sz w:val="44"/>
          <w:szCs w:val="44"/>
          <w:lang w:eastAsia="zh-CN"/>
        </w:rPr>
        <w:t>厦门市归国华侨联合会</w:t>
      </w:r>
      <w:r>
        <w:rPr>
          <w:rFonts w:hint="eastAsia" w:ascii="方正小标宋简体" w:hAnsi="仿宋" w:eastAsia="方正小标宋简体"/>
          <w:sz w:val="44"/>
          <w:szCs w:val="44"/>
        </w:rPr>
        <w:t>部门预算说明</w:t>
      </w:r>
    </w:p>
    <w:p>
      <w:pPr>
        <w:jc w:val="center"/>
        <w:rPr>
          <w:rFonts w:hint="eastAsia" w:ascii="方正小标宋简体" w:hAnsi="仿宋" w:eastAsia="方正小标宋简体"/>
          <w:sz w:val="44"/>
          <w:szCs w:val="44"/>
        </w:rPr>
      </w:pP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第二部分  2021年部门预算说明</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一、2021年部门预算收支总体情况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第四部分  2021年部门预算附表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r>
        <w:rPr>
          <w:rFonts w:hint="eastAsia" w:ascii="仿宋_GB2312" w:hAnsi="仿宋" w:eastAsia="仿宋_GB2312" w:cs="仿宋_GB2312"/>
          <w:sz w:val="32"/>
          <w:szCs w:val="32"/>
          <w:lang w:eastAsia="zh-CN"/>
        </w:rPr>
        <w:t>（空表，无政府性基金预算支出）</w:t>
      </w:r>
    </w:p>
    <w:p>
      <w:pPr>
        <w:shd w:val="clear" w:color="auto" w:fill="FFFFFF"/>
        <w:tabs>
          <w:tab w:val="left" w:pos="7513"/>
        </w:tabs>
        <w:adjustRightInd w:val="0"/>
        <w:snapToGrid w:val="0"/>
        <w:spacing w:line="560" w:lineRule="exact"/>
        <w:ind w:left="638" w:leftChars="304" w:firstLine="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r>
        <w:rPr>
          <w:rFonts w:hint="eastAsia" w:ascii="仿宋_GB2312" w:hAnsi="仿宋" w:eastAsia="仿宋_GB2312" w:cs="仿宋_GB2312"/>
          <w:sz w:val="32"/>
          <w:szCs w:val="32"/>
          <w:lang w:eastAsia="zh-CN"/>
        </w:rPr>
        <w:t>（空表，无市对区转移支付）</w:t>
      </w:r>
      <w:r>
        <w:rPr>
          <w:rFonts w:hint="eastAsia" w:ascii="仿宋_GB2312" w:hAnsi="仿宋" w:eastAsia="仿宋_GB2312" w:cs="仿宋_GB2312"/>
          <w:sz w:val="32"/>
          <w:szCs w:val="32"/>
        </w:rPr>
        <w:t>十、部门整体支出绩效目标表</w:t>
      </w:r>
    </w:p>
    <w:p>
      <w:pPr>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r>
        <w:rPr>
          <w:rFonts w:hint="eastAsia" w:ascii="仿宋_GB2312" w:hAnsi="仿宋" w:eastAsia="仿宋_GB2312" w:cs="仿宋_GB2312"/>
          <w:sz w:val="32"/>
          <w:szCs w:val="32"/>
          <w:lang w:eastAsia="zh-CN"/>
        </w:rPr>
        <w:t>空表，非</w:t>
      </w:r>
      <w:r>
        <w:rPr>
          <w:rFonts w:hint="eastAsia" w:ascii="仿宋_GB2312" w:hAnsi="仿宋" w:eastAsia="仿宋_GB2312" w:cs="仿宋_GB2312"/>
          <w:sz w:val="32"/>
          <w:szCs w:val="32"/>
        </w:rPr>
        <w:t>试点公开部门)</w:t>
      </w: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ind w:firstLine="640" w:firstLineChars="200"/>
        <w:jc w:val="both"/>
        <w:rPr>
          <w:rFonts w:hint="eastAsia" w:ascii="仿宋_GB2312" w:hAnsi="仿宋" w:eastAsia="仿宋_GB2312" w:cs="仿宋_GB2312"/>
          <w:sz w:val="32"/>
          <w:szCs w:val="32"/>
        </w:rPr>
      </w:pP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厦门市归国华侨联合会</w:t>
      </w:r>
      <w:r>
        <w:rPr>
          <w:rFonts w:hint="eastAsia" w:ascii="仿宋_GB2312" w:hAnsi="仿宋" w:eastAsia="仿宋_GB2312" w:cs="仿宋_GB2312"/>
          <w:sz w:val="32"/>
          <w:szCs w:val="32"/>
        </w:rPr>
        <w:t>的主要职责是：</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 w:hAnsi="仿宋" w:eastAsia="仿宋"/>
          <w:sz w:val="32"/>
          <w:szCs w:val="32"/>
        </w:rPr>
        <w:t>厦门市归国华侨联合会</w:t>
      </w:r>
      <w:r>
        <w:rPr>
          <w:rFonts w:hint="eastAsia" w:ascii="仿宋" w:hAnsi="仿宋" w:eastAsia="仿宋"/>
          <w:bCs/>
          <w:sz w:val="32"/>
          <w:szCs w:val="32"/>
        </w:rPr>
        <w:t>是</w:t>
      </w:r>
      <w:r>
        <w:rPr>
          <w:rFonts w:hint="eastAsia" w:ascii="仿宋" w:hAnsi="仿宋" w:eastAsia="仿宋"/>
          <w:sz w:val="32"/>
          <w:szCs w:val="32"/>
        </w:rPr>
        <w:t>由广大归侨、侨眷组成的人民团体，是党和政府联系广大归侨、侨眷和海外侨胞的桥梁和纽带。</w:t>
      </w:r>
      <w:r>
        <w:rPr>
          <w:rFonts w:hint="eastAsia" w:ascii="仿宋" w:hAnsi="仿宋" w:eastAsia="仿宋"/>
          <w:bCs/>
          <w:sz w:val="32"/>
          <w:szCs w:val="32"/>
        </w:rPr>
        <w:t>部门的主要职责是：</w:t>
      </w:r>
      <w:r>
        <w:rPr>
          <w:rFonts w:hint="eastAsia" w:ascii="仿宋" w:hAnsi="仿宋" w:eastAsia="仿宋"/>
          <w:sz w:val="32"/>
          <w:szCs w:val="32"/>
        </w:rPr>
        <w:t>密切联系我市归侨、侨眷和海外侨胞，了解侨情民意、依法维护归侨、侨眷的合法权益，积极参政议政；配合有关部门拓展与海外侨胞及其社团的联系；承担市委、市政府及上级侨联交办的任务，为国家改革发展、社会稳定和厦门特区建设服务。</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lang w:eastAsia="zh-CN"/>
        </w:rPr>
        <w:t>厦门市归国华侨联合会</w:t>
      </w:r>
      <w:r>
        <w:rPr>
          <w:rFonts w:hint="eastAsia" w:ascii="仿宋_GB2312" w:hAnsi="仿宋" w:eastAsia="仿宋_GB2312"/>
          <w:sz w:val="32"/>
          <w:szCs w:val="32"/>
        </w:rPr>
        <w:t>包括</w:t>
      </w:r>
      <w:r>
        <w:rPr>
          <w:rFonts w:hint="eastAsia" w:ascii="仿宋_GB2312" w:hAnsi="仿宋" w:eastAsia="仿宋_GB2312" w:cs="仿宋_GB2312"/>
          <w:sz w:val="32"/>
          <w:szCs w:val="32"/>
          <w:lang w:val="en-US" w:eastAsia="zh-CN"/>
        </w:rPr>
        <w:t>4</w:t>
      </w:r>
      <w:r>
        <w:rPr>
          <w:rFonts w:hint="eastAsia" w:ascii="仿宋_GB2312" w:hAnsi="仿宋" w:eastAsia="仿宋_GB2312"/>
          <w:sz w:val="32"/>
          <w:szCs w:val="32"/>
        </w:rPr>
        <w:t>个机关行政处室</w:t>
      </w:r>
      <w:r>
        <w:rPr>
          <w:rFonts w:hint="eastAsia" w:ascii="仿宋_GB2312" w:hAnsi="仿宋" w:eastAsia="仿宋_GB2312"/>
          <w:sz w:val="32"/>
          <w:szCs w:val="32"/>
          <w:lang w:eastAsia="zh-CN"/>
        </w:rPr>
        <w:t>，</w:t>
      </w:r>
      <w:r>
        <w:rPr>
          <w:rFonts w:hint="eastAsia" w:ascii="仿宋_GB2312" w:hAnsi="仿宋" w:eastAsia="仿宋_GB2312"/>
          <w:sz w:val="32"/>
          <w:szCs w:val="32"/>
        </w:rPr>
        <w:t>其中：列入</w:t>
      </w: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rPr>
        <w:t>年</w:t>
      </w:r>
      <w:r>
        <w:rPr>
          <w:rFonts w:hint="eastAsia" w:ascii="仿宋_GB2312" w:hAnsi="仿宋" w:eastAsia="仿宋_GB2312"/>
          <w:sz w:val="32"/>
          <w:szCs w:val="32"/>
        </w:rPr>
        <w:t>部门预算编制范围的单位详细情况见下表:</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noWrap w:val="0"/>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单位名称</w:t>
            </w:r>
          </w:p>
        </w:tc>
        <w:tc>
          <w:tcPr>
            <w:tcW w:w="2130" w:type="dxa"/>
            <w:noWrap w:val="0"/>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经费性质</w:t>
            </w:r>
          </w:p>
        </w:tc>
        <w:tc>
          <w:tcPr>
            <w:tcW w:w="2131" w:type="dxa"/>
            <w:noWrap w:val="0"/>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人员编制数</w:t>
            </w:r>
          </w:p>
        </w:tc>
        <w:tc>
          <w:tcPr>
            <w:tcW w:w="2131" w:type="dxa"/>
            <w:noWrap w:val="0"/>
            <w:vAlign w:val="top"/>
          </w:tcPr>
          <w:p>
            <w:pPr>
              <w:tabs>
                <w:tab w:val="left" w:pos="7513"/>
              </w:tabs>
              <w:adjustRightInd w:val="0"/>
              <w:snapToGrid w:val="0"/>
              <w:spacing w:line="560" w:lineRule="exact"/>
              <w:jc w:val="center"/>
              <w:rPr>
                <w:rFonts w:hint="eastAsia"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noWrap w:val="0"/>
            <w:vAlign w:val="top"/>
          </w:tcPr>
          <w:p>
            <w:pPr>
              <w:tabs>
                <w:tab w:val="left" w:pos="7513"/>
              </w:tabs>
              <w:adjustRightInd w:val="0"/>
              <w:snapToGrid w:val="0"/>
              <w:spacing w:line="560" w:lineRule="exact"/>
              <w:rPr>
                <w:rFonts w:hint="eastAsia" w:ascii="宋体" w:hAnsi="宋体"/>
                <w:sz w:val="28"/>
                <w:szCs w:val="28"/>
              </w:rPr>
            </w:pPr>
            <w:r>
              <w:rPr>
                <w:rFonts w:hint="eastAsia" w:ascii="仿宋" w:hAnsi="仿宋" w:eastAsia="仿宋"/>
                <w:sz w:val="32"/>
                <w:szCs w:val="32"/>
              </w:rPr>
              <w:t>厦门市归国华侨联合会</w:t>
            </w:r>
          </w:p>
        </w:tc>
        <w:tc>
          <w:tcPr>
            <w:tcW w:w="2130" w:type="dxa"/>
            <w:noWrap w:val="0"/>
            <w:vAlign w:val="top"/>
          </w:tcPr>
          <w:p>
            <w:pPr>
              <w:tabs>
                <w:tab w:val="left" w:pos="7513"/>
              </w:tabs>
              <w:adjustRightInd w:val="0"/>
              <w:snapToGrid w:val="0"/>
              <w:spacing w:line="560" w:lineRule="exact"/>
              <w:rPr>
                <w:rFonts w:hint="eastAsia" w:ascii="宋体" w:hAnsi="宋体"/>
                <w:sz w:val="28"/>
                <w:szCs w:val="28"/>
              </w:rPr>
            </w:pPr>
            <w:r>
              <w:rPr>
                <w:rFonts w:hint="eastAsia" w:ascii="仿宋" w:hAnsi="仿宋" w:eastAsia="仿宋"/>
                <w:sz w:val="32"/>
                <w:szCs w:val="32"/>
              </w:rPr>
              <w:t>全额拨款</w:t>
            </w:r>
          </w:p>
        </w:tc>
        <w:tc>
          <w:tcPr>
            <w:tcW w:w="2131" w:type="dxa"/>
            <w:noWrap w:val="0"/>
            <w:vAlign w:val="top"/>
          </w:tcPr>
          <w:p>
            <w:pPr>
              <w:tabs>
                <w:tab w:val="left" w:pos="7513"/>
              </w:tabs>
              <w:adjustRightInd w:val="0"/>
              <w:snapToGrid w:val="0"/>
              <w:spacing w:line="560" w:lineRule="exact"/>
              <w:rPr>
                <w:rFonts w:hint="eastAsia" w:ascii="宋体" w:hAnsi="宋体" w:eastAsia="仿宋_GB2312"/>
                <w:sz w:val="28"/>
                <w:szCs w:val="28"/>
                <w:lang w:val="en-US" w:eastAsia="zh-CN"/>
              </w:rPr>
            </w:pPr>
            <w:r>
              <w:rPr>
                <w:rFonts w:hint="eastAsia" w:ascii="宋体" w:hAnsi="宋体"/>
                <w:sz w:val="28"/>
                <w:szCs w:val="28"/>
                <w:lang w:val="en-US" w:eastAsia="zh-CN"/>
              </w:rPr>
              <w:t>15</w:t>
            </w:r>
          </w:p>
        </w:tc>
        <w:tc>
          <w:tcPr>
            <w:tcW w:w="2131" w:type="dxa"/>
            <w:noWrap w:val="0"/>
            <w:vAlign w:val="top"/>
          </w:tcPr>
          <w:p>
            <w:pPr>
              <w:tabs>
                <w:tab w:val="left" w:pos="7513"/>
              </w:tabs>
              <w:adjustRightInd w:val="0"/>
              <w:snapToGrid w:val="0"/>
              <w:spacing w:line="560" w:lineRule="exact"/>
              <w:rPr>
                <w:rFonts w:hint="eastAsia" w:ascii="宋体" w:hAnsi="宋体" w:eastAsia="仿宋_GB2312"/>
                <w:sz w:val="28"/>
                <w:szCs w:val="28"/>
                <w:lang w:val="en-US" w:eastAsia="zh-CN"/>
              </w:rPr>
            </w:pPr>
            <w:r>
              <w:rPr>
                <w:rFonts w:hint="eastAsia" w:ascii="宋体" w:hAnsi="宋体"/>
                <w:sz w:val="28"/>
                <w:szCs w:val="28"/>
                <w:lang w:val="en-US" w:eastAsia="zh-CN"/>
              </w:rPr>
              <w:t>14</w:t>
            </w:r>
          </w:p>
        </w:tc>
      </w:tr>
    </w:tbl>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三、部门主要工作任务</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rPr>
        <w:t>年</w:t>
      </w:r>
      <w:r>
        <w:rPr>
          <w:rFonts w:hint="eastAsia" w:ascii="仿宋_GB2312" w:hAnsi="仿宋" w:eastAsia="仿宋_GB2312"/>
          <w:sz w:val="32"/>
          <w:szCs w:val="32"/>
        </w:rPr>
        <w:t>，</w:t>
      </w:r>
      <w:r>
        <w:rPr>
          <w:rFonts w:hint="eastAsia" w:ascii="仿宋" w:hAnsi="仿宋" w:eastAsia="仿宋"/>
          <w:bCs/>
          <w:sz w:val="32"/>
          <w:szCs w:val="32"/>
        </w:rPr>
        <w:t>厦门市归国华侨联合会主要任务是：继续做好海内外华侨侨胞联络工作，围绕上述任务，重点抓好以下工作：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(一)、密切联系我市归侨、侨眷和海外侨胞，了解侨情民意、化解矛盾；加强归侨、侨眷的法制教育和思想道德教育，为国家改革发展、社会稳定和特区建设服务。</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依法维护归侨、侨眷的合法权益和海外侨胞在国内的正当权益，积极参政议政，反映归侨、侨眷和海外侨胞的意见和要求；参与我市有关法律法规草稿的起草；为所属各区、基层侨联和归侨、侨眷、海外侨胞提供法律咨询和服务。</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(三)、配合有关主管部门做好人大、政协中侨界代表、委员的推荐、安排工作，为侨界代表、委员履行参政议政和民主监督职能提供服务。</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(四)、促进海外侨胞与祖国及厦门进行经济合作和科技交流；配合有关部门开展牵线搭桥、招商引资工作为归侨、侨眷兴办企事业和海外侨胞回祖籍国、祖籍地投资服务。</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(五)、配合有关主管部门拓展与台湾同胞的联系渠道；加强同港澳侨团的联系，密切与海外侨胞及其社团的联系，参与以地缘、血缘、业缘为纽带组成的侨团的联谊活动。</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六)、宣传党和政府侨务工作的方针、政策，弘扬“嘉庚精神”，宣传海内外侨胞的先进事迹和爱国爱乡行动；开展海内外文化、学术交流；引导、协助归侨、侨眷和海外侨胞在国内兴办文教卫生和其它社会公益事业。</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(七)、加强基层侨联组织建设，指导、支持所属团体会员单位开展工作。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(八)、承担市委、市政府及上级侨联所交办的工作。</w:t>
      </w:r>
    </w:p>
    <w:p>
      <w:pPr>
        <w:tabs>
          <w:tab w:val="left" w:pos="7513"/>
        </w:tabs>
        <w:adjustRightInd w:val="0"/>
        <w:snapToGrid w:val="0"/>
        <w:spacing w:line="560" w:lineRule="exact"/>
        <w:jc w:val="center"/>
        <w:rPr>
          <w:rFonts w:hint="eastAsia" w:ascii="仿宋_GB2312" w:hAnsi="仿宋" w:eastAsia="仿宋_GB2312" w:cs="仿宋_GB2312"/>
          <w:sz w:val="32"/>
          <w:szCs w:val="32"/>
        </w:rPr>
      </w:pPr>
      <w:r>
        <w:rPr>
          <w:rFonts w:hint="eastAsia" w:ascii="黑体" w:hAnsi="黑体" w:eastAsia="黑体"/>
          <w:sz w:val="32"/>
          <w:szCs w:val="32"/>
        </w:rPr>
        <w:t>第二部分  20</w:t>
      </w:r>
      <w:r>
        <w:rPr>
          <w:rFonts w:hint="eastAsia" w:ascii="黑体" w:hAnsi="黑体" w:eastAsia="黑体"/>
          <w:sz w:val="32"/>
          <w:szCs w:val="32"/>
          <w:lang w:val="en-US" w:eastAsia="zh-CN"/>
        </w:rPr>
        <w:t>21</w:t>
      </w:r>
      <w:r>
        <w:rPr>
          <w:rFonts w:hint="eastAsia" w:ascii="黑体" w:hAnsi="黑体" w:eastAsia="黑体"/>
          <w:sz w:val="32"/>
          <w:szCs w:val="32"/>
        </w:rPr>
        <w:t>年部门预算说明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一、20</w:t>
      </w:r>
      <w:r>
        <w:rPr>
          <w:rFonts w:hint="eastAsia" w:ascii="黑体" w:hAnsi="黑体" w:eastAsia="黑体"/>
          <w:sz w:val="32"/>
          <w:szCs w:val="32"/>
          <w:lang w:val="en-US" w:eastAsia="zh-CN"/>
        </w:rPr>
        <w:t>21</w:t>
      </w:r>
      <w:r>
        <w:rPr>
          <w:rFonts w:hint="eastAsia" w:ascii="黑体" w:hAnsi="黑体" w:eastAsia="黑体"/>
          <w:sz w:val="32"/>
          <w:szCs w:val="32"/>
        </w:rPr>
        <w:t>年部门预算收支总体情况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lang w:eastAsia="zh-CN"/>
        </w:rPr>
        <w:t>厦门市归国华侨联合会</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年收入预算为</w:t>
      </w:r>
      <w:r>
        <w:rPr>
          <w:rFonts w:hint="eastAsia" w:ascii="仿宋_GB2312" w:hAnsi="仿宋" w:eastAsia="仿宋_GB2312"/>
          <w:sz w:val="32"/>
          <w:szCs w:val="32"/>
          <w:lang w:val="en-US" w:eastAsia="zh-CN"/>
        </w:rPr>
        <w:t>993.3</w:t>
      </w:r>
      <w:r>
        <w:rPr>
          <w:rFonts w:hint="eastAsia" w:ascii="仿宋_GB2312" w:hAnsi="仿宋" w:eastAsia="仿宋_GB2312"/>
          <w:sz w:val="32"/>
          <w:szCs w:val="32"/>
        </w:rPr>
        <w:t>万元，</w:t>
      </w:r>
      <w:r>
        <w:rPr>
          <w:rFonts w:hint="eastAsia" w:ascii="仿宋_GB2312" w:hAnsi="仿宋" w:eastAsia="仿宋_GB2312" w:cs="仿宋_GB2312"/>
          <w:sz w:val="32"/>
          <w:szCs w:val="32"/>
        </w:rPr>
        <w:t>比20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年预算数增加</w:t>
      </w:r>
      <w:r>
        <w:rPr>
          <w:rFonts w:hint="eastAsia" w:ascii="仿宋_GB2312" w:hAnsi="仿宋" w:eastAsia="仿宋_GB2312" w:cs="仿宋_GB2312"/>
          <w:sz w:val="32"/>
          <w:szCs w:val="32"/>
          <w:lang w:val="en-US" w:eastAsia="zh-CN"/>
        </w:rPr>
        <w:t>39.66</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4.16</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w:t>
      </w:r>
      <w:r>
        <w:rPr>
          <w:rFonts w:hint="eastAsia" w:ascii="仿宋_GB2312" w:hAnsi="仿宋" w:eastAsia="仿宋_GB2312"/>
          <w:sz w:val="32"/>
          <w:szCs w:val="32"/>
          <w:lang w:val="en-US" w:eastAsia="zh-CN"/>
        </w:rPr>
        <w:t>993.3</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hint="eastAsia" w:ascii="仿宋_GB2312" w:hAnsi="仿宋" w:eastAsia="仿宋_GB2312"/>
          <w:sz w:val="32"/>
          <w:szCs w:val="32"/>
          <w:lang w:val="en-US" w:eastAsia="zh-CN"/>
        </w:rPr>
        <w:t>993.3</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4.事业单位经营收入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5.上级补助收入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7.历年结余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lang w:eastAsia="zh-CN"/>
        </w:rPr>
        <w:t>厦门市归国华侨联合会</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年支出预算为</w:t>
      </w:r>
      <w:r>
        <w:rPr>
          <w:rFonts w:hint="eastAsia" w:ascii="仿宋_GB2312" w:hAnsi="仿宋" w:eastAsia="仿宋_GB2312"/>
          <w:sz w:val="32"/>
          <w:szCs w:val="32"/>
          <w:lang w:val="en-US" w:eastAsia="zh-CN"/>
        </w:rPr>
        <w:t>993.3</w:t>
      </w:r>
      <w:r>
        <w:rPr>
          <w:rFonts w:hint="eastAsia" w:ascii="仿宋_GB2312" w:hAnsi="仿宋" w:eastAsia="仿宋_GB2312"/>
          <w:sz w:val="32"/>
          <w:szCs w:val="32"/>
        </w:rPr>
        <w:t>万元，</w:t>
      </w:r>
      <w:r>
        <w:rPr>
          <w:rFonts w:hint="eastAsia" w:ascii="仿宋_GB2312" w:hAnsi="仿宋" w:eastAsia="仿宋_GB2312" w:cs="仿宋_GB2312"/>
          <w:sz w:val="32"/>
          <w:szCs w:val="32"/>
        </w:rPr>
        <w:t>比20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年预算数增加</w:t>
      </w:r>
      <w:r>
        <w:rPr>
          <w:rFonts w:hint="eastAsia" w:ascii="仿宋_GB2312" w:hAnsi="仿宋" w:eastAsia="仿宋_GB2312" w:cs="仿宋_GB2312"/>
          <w:sz w:val="32"/>
          <w:szCs w:val="32"/>
          <w:lang w:val="en-US" w:eastAsia="zh-CN"/>
        </w:rPr>
        <w:t>39.66</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4.16</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lang w:val="en-US" w:eastAsia="zh-CN"/>
        </w:rPr>
        <w:t>784.6</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lang w:val="en-US" w:eastAsia="zh-CN"/>
        </w:rPr>
        <w:t>693.56</w:t>
      </w:r>
      <w:r>
        <w:rPr>
          <w:rFonts w:hint="eastAsia" w:ascii="仿宋_GB2312" w:hAnsi="仿宋" w:eastAsia="仿宋_GB2312"/>
          <w:sz w:val="32"/>
          <w:szCs w:val="32"/>
        </w:rPr>
        <w:t>万元，公用支出</w:t>
      </w:r>
      <w:r>
        <w:rPr>
          <w:rFonts w:hint="eastAsia" w:ascii="仿宋_GB2312" w:hAnsi="仿宋" w:eastAsia="仿宋_GB2312" w:cs="仿宋_GB2312"/>
          <w:sz w:val="32"/>
          <w:szCs w:val="32"/>
          <w:lang w:val="en-US" w:eastAsia="zh-CN"/>
        </w:rPr>
        <w:t>91.04</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lang w:val="en-US" w:eastAsia="zh-CN"/>
        </w:rPr>
        <w:t>208.7</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bCs/>
          <w:sz w:val="32"/>
          <w:szCs w:val="32"/>
        </w:rPr>
        <w:t>20</w:t>
      </w:r>
      <w:r>
        <w:rPr>
          <w:rFonts w:hint="eastAsia" w:ascii="仿宋_GB2312" w:hAnsi="仿宋" w:eastAsia="仿宋_GB2312" w:cs="宋体"/>
          <w:bCs/>
          <w:sz w:val="32"/>
          <w:szCs w:val="32"/>
          <w:lang w:val="en-US" w:eastAsia="zh-CN"/>
        </w:rPr>
        <w:t>21</w:t>
      </w:r>
      <w:r>
        <w:rPr>
          <w:rFonts w:hint="eastAsia" w:ascii="仿宋_GB2312" w:hAnsi="仿宋" w:eastAsia="仿宋_GB2312" w:cs="宋体"/>
          <w:bCs/>
          <w:sz w:val="32"/>
          <w:szCs w:val="32"/>
        </w:rPr>
        <w:t>年</w:t>
      </w:r>
      <w:r>
        <w:rPr>
          <w:rFonts w:hint="eastAsia" w:ascii="仿宋_GB2312" w:hAnsi="仿宋" w:eastAsia="仿宋_GB2312" w:cs="仿宋_GB2312"/>
          <w:sz w:val="32"/>
          <w:szCs w:val="32"/>
        </w:rPr>
        <w:t>度一般公共预算支出</w:t>
      </w:r>
      <w:r>
        <w:rPr>
          <w:rFonts w:hint="eastAsia" w:ascii="仿宋_GB2312" w:hAnsi="仿宋" w:eastAsia="仿宋_GB2312"/>
          <w:sz w:val="32"/>
          <w:szCs w:val="32"/>
          <w:lang w:val="en-US" w:eastAsia="zh-CN"/>
        </w:rPr>
        <w:t>993.3</w:t>
      </w:r>
      <w:r>
        <w:rPr>
          <w:rFonts w:hint="eastAsia" w:ascii="仿宋_GB2312" w:hAnsi="仿宋" w:eastAsia="仿宋_GB2312" w:cs="仿宋_GB2312"/>
          <w:sz w:val="32"/>
          <w:szCs w:val="32"/>
        </w:rPr>
        <w:t>万元，比201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年预算数增加</w:t>
      </w:r>
      <w:r>
        <w:rPr>
          <w:rFonts w:hint="eastAsia" w:ascii="仿宋_GB2312" w:hAnsi="仿宋" w:eastAsia="仿宋_GB2312" w:cs="仿宋_GB2312"/>
          <w:sz w:val="32"/>
          <w:szCs w:val="32"/>
          <w:lang w:val="en-US" w:eastAsia="zh-CN"/>
        </w:rPr>
        <w:t>39.66</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4.16</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主要是</w:t>
      </w:r>
      <w:r>
        <w:rPr>
          <w:rFonts w:hint="eastAsia" w:ascii="仿宋" w:hAnsi="仿宋" w:eastAsia="仿宋"/>
          <w:sz w:val="32"/>
          <w:szCs w:val="32"/>
        </w:rPr>
        <w:t>工资</w:t>
      </w:r>
      <w:r>
        <w:rPr>
          <w:rFonts w:hint="eastAsia" w:ascii="仿宋" w:hAnsi="仿宋" w:eastAsia="仿宋"/>
          <w:sz w:val="32"/>
          <w:szCs w:val="32"/>
          <w:lang w:eastAsia="zh-CN"/>
        </w:rPr>
        <w:t>奖金自然增长</w:t>
      </w:r>
      <w:r>
        <w:rPr>
          <w:rFonts w:hint="eastAsia" w:ascii="仿宋_GB2312" w:hAnsi="仿宋" w:eastAsia="仿宋_GB2312" w:cs="仿宋_GB2312"/>
          <w:sz w:val="32"/>
          <w:szCs w:val="32"/>
        </w:rPr>
        <w:t>。支出项目(按项级科目分类统计)包括：</w:t>
      </w:r>
      <w:r>
        <w:rPr>
          <w:rFonts w:hint="eastAsia"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 w:hAnsi="仿宋" w:eastAsia="仿宋"/>
          <w:bCs/>
          <w:sz w:val="32"/>
          <w:szCs w:val="32"/>
        </w:rPr>
        <w:t>行政运行支出（港澳台侨事务）</w:t>
      </w:r>
      <w:r>
        <w:rPr>
          <w:rFonts w:hint="eastAsia" w:ascii="仿宋_GB2312" w:hAnsi="仿宋" w:eastAsia="仿宋_GB2312" w:cs="仿宋_GB2312"/>
          <w:sz w:val="32"/>
          <w:szCs w:val="32"/>
          <w:lang w:val="en-US" w:eastAsia="zh-CN"/>
        </w:rPr>
        <w:t>633.9</w:t>
      </w:r>
      <w:r>
        <w:rPr>
          <w:rFonts w:hint="eastAsia" w:ascii="仿宋_GB2312" w:hAnsi="仿宋" w:eastAsia="仿宋_GB2312" w:cs="仿宋_GB2312"/>
          <w:sz w:val="32"/>
          <w:szCs w:val="32"/>
        </w:rPr>
        <w:t>万元。主要用于</w:t>
      </w:r>
      <w:r>
        <w:rPr>
          <w:rFonts w:hint="eastAsia" w:ascii="仿宋" w:hAnsi="仿宋" w:eastAsia="仿宋"/>
          <w:bCs/>
          <w:sz w:val="32"/>
          <w:szCs w:val="32"/>
        </w:rPr>
        <w:t>人员经费、公用经费等支出</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 w:hAnsi="仿宋" w:eastAsia="仿宋"/>
          <w:bCs/>
          <w:sz w:val="32"/>
          <w:szCs w:val="32"/>
        </w:rPr>
        <w:t>一般行政管理事务支出（港澳台侨事务）</w:t>
      </w:r>
      <w:r>
        <w:rPr>
          <w:rFonts w:hint="eastAsia" w:ascii="仿宋_GB2312" w:hAnsi="仿宋" w:eastAsia="仿宋_GB2312" w:cs="仿宋_GB2312"/>
          <w:sz w:val="32"/>
          <w:szCs w:val="32"/>
          <w:lang w:val="en-US" w:eastAsia="zh-CN"/>
        </w:rPr>
        <w:t>208.7</w:t>
      </w:r>
      <w:r>
        <w:rPr>
          <w:rFonts w:hint="eastAsia" w:ascii="仿宋_GB2312" w:hAnsi="仿宋" w:eastAsia="仿宋_GB2312" w:cs="仿宋_GB2312"/>
          <w:sz w:val="32"/>
          <w:szCs w:val="32"/>
        </w:rPr>
        <w:t>万元。主要用于</w:t>
      </w:r>
      <w:r>
        <w:rPr>
          <w:rFonts w:hint="eastAsia" w:ascii="仿宋" w:hAnsi="仿宋" w:eastAsia="仿宋"/>
          <w:bCs/>
          <w:sz w:val="32"/>
          <w:szCs w:val="32"/>
        </w:rPr>
        <w:t>开展海内外联络工作及承担市委、市政府及上级部门所交班办的任务，以及</w:t>
      </w:r>
      <w:r>
        <w:rPr>
          <w:rFonts w:hint="eastAsia" w:ascii="仿宋" w:hAnsi="仿宋" w:eastAsia="仿宋"/>
          <w:sz w:val="32"/>
          <w:szCs w:val="32"/>
          <w:lang w:eastAsia="zh-CN"/>
        </w:rPr>
        <w:t>海外华侨华人社团厦门联络总部专项经费</w:t>
      </w:r>
      <w:r>
        <w:rPr>
          <w:rFonts w:hint="eastAsia" w:ascii="仿宋" w:hAnsi="仿宋" w:eastAsia="仿宋"/>
          <w:bCs/>
          <w:sz w:val="32"/>
          <w:szCs w:val="32"/>
        </w:rPr>
        <w:t>等支出。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 w:hAnsi="仿宋" w:eastAsia="仿宋"/>
          <w:bCs/>
          <w:sz w:val="32"/>
          <w:szCs w:val="32"/>
        </w:rPr>
        <w:t>归口管理的行政单位离退休</w:t>
      </w:r>
      <w:r>
        <w:rPr>
          <w:rFonts w:hint="eastAsia" w:ascii="仿宋_GB2312" w:hAnsi="仿宋" w:eastAsia="仿宋_GB2312" w:cs="仿宋_GB2312"/>
          <w:sz w:val="32"/>
          <w:szCs w:val="32"/>
          <w:lang w:val="en-US" w:eastAsia="zh-CN"/>
        </w:rPr>
        <w:t>96.75</w:t>
      </w:r>
      <w:r>
        <w:rPr>
          <w:rFonts w:hint="eastAsia" w:ascii="仿宋_GB2312" w:hAnsi="仿宋" w:eastAsia="仿宋_GB2312" w:cs="仿宋_GB2312"/>
          <w:sz w:val="32"/>
          <w:szCs w:val="32"/>
        </w:rPr>
        <w:t>万元。主要用于</w:t>
      </w:r>
      <w:r>
        <w:rPr>
          <w:rFonts w:hint="eastAsia" w:ascii="仿宋" w:hAnsi="仿宋" w:eastAsia="仿宋"/>
          <w:bCs/>
          <w:sz w:val="32"/>
          <w:szCs w:val="32"/>
        </w:rPr>
        <w:t>离退休人员</w:t>
      </w:r>
      <w:r>
        <w:rPr>
          <w:rFonts w:hint="eastAsia" w:ascii="仿宋_GB2312" w:hAnsi="仿宋" w:eastAsia="仿宋_GB2312" w:cs="仿宋_GB2312"/>
          <w:sz w:val="32"/>
          <w:szCs w:val="32"/>
        </w:rPr>
        <w:t>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（四）机关事业单位单位基本养老保险缴费支出</w:t>
      </w:r>
      <w:r>
        <w:rPr>
          <w:rFonts w:hint="eastAsia" w:ascii="仿宋_GB2312" w:hAnsi="仿宋" w:eastAsia="仿宋_GB2312" w:cs="仿宋_GB2312"/>
          <w:sz w:val="32"/>
          <w:szCs w:val="32"/>
          <w:lang w:val="en-US" w:eastAsia="zh-CN"/>
        </w:rPr>
        <w:t>29.21</w:t>
      </w:r>
      <w:r>
        <w:rPr>
          <w:rFonts w:hint="eastAsia" w:ascii="仿宋_GB2312" w:hAnsi="仿宋" w:eastAsia="仿宋_GB2312" w:cs="仿宋_GB2312"/>
          <w:sz w:val="32"/>
          <w:szCs w:val="32"/>
        </w:rPr>
        <w:t>万元，主要用于在职和离休人员养老保险支出。</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）行政单位医疗保障支出</w:t>
      </w:r>
      <w:r>
        <w:rPr>
          <w:rFonts w:hint="eastAsia" w:ascii="仿宋_GB2312" w:hAnsi="仿宋" w:eastAsia="仿宋_GB2312" w:cs="仿宋_GB2312"/>
          <w:sz w:val="32"/>
          <w:szCs w:val="32"/>
          <w:lang w:val="en-US" w:eastAsia="zh-CN"/>
        </w:rPr>
        <w:t>19.48</w:t>
      </w:r>
      <w:r>
        <w:rPr>
          <w:rFonts w:hint="eastAsia" w:ascii="仿宋_GB2312" w:hAnsi="仿宋" w:eastAsia="仿宋_GB2312" w:cs="仿宋_GB2312"/>
          <w:sz w:val="32"/>
          <w:szCs w:val="32"/>
        </w:rPr>
        <w:t>万元，主要用于在职和离休人员统发医疗保险。</w:t>
      </w:r>
    </w:p>
    <w:p>
      <w:pPr>
        <w:tabs>
          <w:tab w:val="left" w:pos="7513"/>
        </w:tabs>
        <w:adjustRightInd w:val="0"/>
        <w:snapToGrid w:val="0"/>
        <w:spacing w:line="560" w:lineRule="exact"/>
        <w:ind w:firstLine="640" w:firstLineChars="200"/>
        <w:rPr>
          <w:rFonts w:hint="eastAsia" w:ascii="仿宋" w:hAnsi="仿宋" w:eastAsia="仿宋"/>
          <w:bCs/>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六</w:t>
      </w:r>
      <w:r>
        <w:rPr>
          <w:rFonts w:hint="eastAsia" w:ascii="仿宋_GB2312" w:hAnsi="仿宋" w:eastAsia="仿宋_GB2312" w:cs="仿宋_GB2312"/>
          <w:sz w:val="32"/>
          <w:szCs w:val="32"/>
        </w:rPr>
        <w:t>）公务员医疗补助</w:t>
      </w:r>
      <w:r>
        <w:rPr>
          <w:rFonts w:hint="eastAsia" w:ascii="仿宋_GB2312" w:hAnsi="仿宋" w:eastAsia="仿宋_GB2312" w:cs="仿宋_GB2312"/>
          <w:sz w:val="32"/>
          <w:szCs w:val="32"/>
          <w:lang w:val="en-US" w:eastAsia="zh-CN"/>
        </w:rPr>
        <w:t>5.26</w:t>
      </w:r>
      <w:r>
        <w:rPr>
          <w:rFonts w:hint="eastAsia" w:ascii="仿宋_GB2312" w:hAnsi="仿宋" w:eastAsia="仿宋_GB2312" w:cs="仿宋_GB2312"/>
          <w:sz w:val="32"/>
          <w:szCs w:val="32"/>
        </w:rPr>
        <w:t>万元，主要用于在职人员统发医疗补助。</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rPr>
        <w:t>年没有使用政府性基金预算拨款安排支出。</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kern w:val="0"/>
          <w:sz w:val="32"/>
          <w:szCs w:val="32"/>
          <w:lang w:eastAsia="zh-CN"/>
        </w:rPr>
        <w:t>厦门市归国华侨联合会</w:t>
      </w:r>
      <w:r>
        <w:rPr>
          <w:rFonts w:hint="eastAsia" w:ascii="仿宋_GB2312" w:hAnsi="仿宋" w:eastAsia="仿宋_GB2312" w:cs="仿宋_GB2312"/>
          <w:kern w:val="0"/>
          <w:sz w:val="32"/>
          <w:szCs w:val="32"/>
        </w:rPr>
        <w:t>20</w:t>
      </w:r>
      <w:r>
        <w:rPr>
          <w:rFonts w:hint="eastAsia" w:ascii="仿宋_GB2312" w:hAnsi="仿宋" w:eastAsia="仿宋_GB2312" w:cs="仿宋_GB2312"/>
          <w:kern w:val="0"/>
          <w:sz w:val="32"/>
          <w:szCs w:val="32"/>
          <w:lang w:val="en-US" w:eastAsia="zh-CN"/>
        </w:rPr>
        <w:t>21</w:t>
      </w:r>
      <w:r>
        <w:rPr>
          <w:rFonts w:hint="eastAsia" w:ascii="仿宋_GB2312" w:hAnsi="仿宋" w:eastAsia="仿宋_GB2312" w:cs="仿宋_GB2312"/>
          <w:kern w:val="0"/>
          <w:sz w:val="32"/>
          <w:szCs w:val="32"/>
        </w:rPr>
        <w:t>年</w:t>
      </w:r>
      <w:r>
        <w:rPr>
          <w:rFonts w:hint="eastAsia" w:ascii="仿宋_GB2312" w:hAnsi="仿宋" w:eastAsia="仿宋_GB2312" w:cs="宋体"/>
          <w:kern w:val="0"/>
          <w:sz w:val="32"/>
          <w:szCs w:val="32"/>
        </w:rPr>
        <w:t>“三公”经费财政拨款预算数为</w:t>
      </w:r>
      <w:r>
        <w:rPr>
          <w:rFonts w:hint="eastAsia" w:ascii="仿宋_GB2312" w:hAnsi="仿宋" w:eastAsia="仿宋_GB2312" w:cs="宋体"/>
          <w:kern w:val="0"/>
          <w:sz w:val="32"/>
          <w:szCs w:val="32"/>
          <w:lang w:val="en-US" w:eastAsia="zh-CN"/>
        </w:rPr>
        <w:t>40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比上年减少</w:t>
      </w:r>
      <w:r>
        <w:rPr>
          <w:rFonts w:hint="eastAsia" w:ascii="仿宋_GB2312" w:hAnsi="仿宋" w:eastAsia="仿宋_GB2312" w:cs="宋体"/>
          <w:kern w:val="0"/>
          <w:sz w:val="32"/>
          <w:szCs w:val="32"/>
          <w:lang w:val="en-US" w:eastAsia="zh-CN"/>
        </w:rPr>
        <w:t>33.33%。</w:t>
      </w:r>
      <w:r>
        <w:rPr>
          <w:rFonts w:hint="eastAsia" w:ascii="仿宋_GB2312" w:hAnsi="仿宋" w:eastAsia="仿宋_GB2312" w:cs="宋体"/>
          <w:kern w:val="0"/>
          <w:sz w:val="32"/>
          <w:szCs w:val="32"/>
        </w:rPr>
        <w:t>其中</w:t>
      </w:r>
      <w:r>
        <w:rPr>
          <w:rFonts w:hint="eastAsia" w:ascii="仿宋_GB2312" w:hAnsi="仿宋" w:eastAsia="仿宋_GB2312" w:cs="仿宋_GB2312"/>
          <w:sz w:val="32"/>
          <w:szCs w:val="32"/>
        </w:rPr>
        <w:t>：因公出国（境）经费</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万元，公务接待费</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万元，公务用车购置及运行费</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万元。具体情况如下：</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rPr>
        <w:t>年预算安排</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万元。主要用于</w:t>
      </w:r>
      <w:r>
        <w:rPr>
          <w:rFonts w:hint="eastAsia" w:ascii="仿宋" w:hAnsi="仿宋" w:eastAsia="仿宋"/>
          <w:sz w:val="32"/>
          <w:szCs w:val="32"/>
        </w:rPr>
        <w:t>推介厦门自贸区及海外华侨社团联络</w:t>
      </w:r>
      <w:r>
        <w:rPr>
          <w:rFonts w:hint="eastAsia" w:ascii="仿宋_GB2312" w:hAnsi="仿宋" w:eastAsia="仿宋_GB2312" w:cs="宋体"/>
          <w:kern w:val="0"/>
          <w:sz w:val="32"/>
          <w:szCs w:val="32"/>
        </w:rPr>
        <w:t>。</w:t>
      </w:r>
      <w:r>
        <w:rPr>
          <w:rFonts w:hint="eastAsia" w:ascii="仿宋_GB2312" w:hAnsi="仿宋" w:eastAsia="仿宋_GB2312" w:cs="仿宋_GB2312"/>
          <w:sz w:val="32"/>
          <w:szCs w:val="32"/>
          <w:lang w:eastAsia="zh-CN"/>
        </w:rPr>
        <w:t>比上年预算减少</w:t>
      </w:r>
      <w:r>
        <w:rPr>
          <w:rFonts w:hint="eastAsia" w:ascii="仿宋_GB2312" w:hAnsi="仿宋" w:eastAsia="仿宋_GB2312" w:cs="仿宋_GB2312"/>
          <w:sz w:val="32"/>
          <w:szCs w:val="32"/>
          <w:lang w:val="en-US" w:eastAsia="zh-CN"/>
        </w:rPr>
        <w:t>50%，</w:t>
      </w:r>
      <w:r>
        <w:rPr>
          <w:rFonts w:hint="eastAsia" w:ascii="仿宋_GB2312" w:hAnsi="仿宋" w:eastAsia="仿宋_GB2312" w:cs="仿宋_GB2312"/>
          <w:sz w:val="32"/>
          <w:szCs w:val="32"/>
          <w:lang w:eastAsia="zh-CN"/>
        </w:rPr>
        <w:t>因团组计划压减，预算经费压缩。</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年预算安排</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与上年预算持平。</w:t>
      </w:r>
      <w:r>
        <w:rPr>
          <w:rFonts w:hint="eastAsia" w:ascii="仿宋_GB2312" w:hAnsi="仿宋" w:eastAsia="仿宋_GB2312" w:cs="宋体"/>
          <w:kern w:val="0"/>
          <w:sz w:val="32"/>
          <w:szCs w:val="32"/>
        </w:rPr>
        <w:t>主要用于</w:t>
      </w:r>
      <w:r>
        <w:rPr>
          <w:rFonts w:hint="eastAsia" w:ascii="仿宋" w:hAnsi="仿宋" w:eastAsia="仿宋"/>
          <w:sz w:val="32"/>
          <w:szCs w:val="32"/>
        </w:rPr>
        <w:t>于海外侨领厦门行考察重点项目活动支出及海内外联络联谊工作</w:t>
      </w:r>
      <w:r>
        <w:rPr>
          <w:rFonts w:hint="eastAsia" w:ascii="仿宋_GB2312" w:hAnsi="仿宋" w:eastAsia="仿宋_GB2312" w:cs="宋体"/>
          <w:kern w:val="0"/>
          <w:sz w:val="32"/>
          <w:szCs w:val="32"/>
        </w:rPr>
        <w:t>等方面的接待活动。</w:t>
      </w:r>
      <w:bookmarkStart w:id="0" w:name="_GoBack"/>
      <w:bookmarkEnd w:id="0"/>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kern w:val="0"/>
          <w:sz w:val="32"/>
          <w:szCs w:val="32"/>
        </w:rPr>
        <w:t>20</w:t>
      </w:r>
      <w:r>
        <w:rPr>
          <w:rFonts w:hint="eastAsia" w:ascii="仿宋_GB2312" w:hAnsi="仿宋" w:eastAsia="仿宋_GB2312" w:cs="仿宋_GB2312"/>
          <w:kern w:val="0"/>
          <w:sz w:val="32"/>
          <w:szCs w:val="32"/>
          <w:lang w:val="en-US" w:eastAsia="zh-CN"/>
        </w:rPr>
        <w:t>21</w:t>
      </w:r>
      <w:r>
        <w:rPr>
          <w:rFonts w:hint="eastAsia" w:ascii="仿宋_GB2312" w:hAnsi="仿宋" w:eastAsia="仿宋_GB2312" w:cs="仿宋_GB2312"/>
          <w:kern w:val="0"/>
          <w:sz w:val="32"/>
          <w:szCs w:val="32"/>
        </w:rPr>
        <w:t>年</w:t>
      </w:r>
      <w:r>
        <w:rPr>
          <w:rFonts w:hint="eastAsia" w:ascii="仿宋_GB2312" w:hAnsi="仿宋" w:eastAsia="仿宋_GB2312" w:cs="宋体"/>
          <w:kern w:val="0"/>
          <w:sz w:val="32"/>
          <w:szCs w:val="32"/>
        </w:rPr>
        <w:t>预算安排</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万元，其中：公务用车运行费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万元，公务用车购置费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万元。与上年预算</w:t>
      </w:r>
      <w:r>
        <w:rPr>
          <w:rFonts w:hint="eastAsia" w:ascii="仿宋_GB2312" w:hAnsi="仿宋" w:eastAsia="仿宋_GB2312" w:cs="宋体"/>
          <w:kern w:val="0"/>
          <w:sz w:val="32"/>
          <w:szCs w:val="32"/>
          <w:lang w:eastAsia="zh-CN"/>
        </w:rPr>
        <w:t>持平。</w:t>
      </w:r>
      <w:r>
        <w:rPr>
          <w:rFonts w:hint="eastAsia" w:ascii="仿宋_GB2312" w:hAnsi="仿宋" w:eastAsia="仿宋_GB2312" w:cs="宋体"/>
          <w:kern w:val="0"/>
          <w:sz w:val="32"/>
          <w:szCs w:val="32"/>
        </w:rPr>
        <w:t>主要原因是:</w:t>
      </w:r>
      <w:r>
        <w:rPr>
          <w:rFonts w:hint="eastAsia" w:ascii="仿宋_GB2312" w:hAnsi="仿宋" w:eastAsia="仿宋_GB2312" w:cs="宋体"/>
          <w:kern w:val="0"/>
          <w:sz w:val="32"/>
          <w:szCs w:val="32"/>
          <w:lang w:val="en-US" w:eastAsia="zh-CN"/>
        </w:rPr>
        <w:t>2018年底开始两辆公车已调拨给机关事务管理局</w:t>
      </w:r>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厦门市归国华侨联合会</w:t>
      </w:r>
      <w:r>
        <w:rPr>
          <w:rFonts w:hint="eastAsia" w:ascii="仿宋_GB2312" w:hAnsi="仿宋" w:eastAsia="仿宋_GB2312" w:cs="宋体"/>
          <w:kern w:val="0"/>
          <w:sz w:val="32"/>
          <w:szCs w:val="32"/>
        </w:rPr>
        <w:t>的机关运行经费财政拨款预算</w:t>
      </w:r>
      <w:r>
        <w:rPr>
          <w:rFonts w:hint="eastAsia" w:ascii="仿宋_GB2312" w:hAnsi="仿宋" w:eastAsia="仿宋_GB2312" w:cs="宋体"/>
          <w:kern w:val="0"/>
          <w:sz w:val="32"/>
          <w:szCs w:val="32"/>
          <w:lang w:val="en-US" w:eastAsia="zh-CN"/>
        </w:rPr>
        <w:t>91.04</w:t>
      </w:r>
      <w:r>
        <w:rPr>
          <w:rFonts w:hint="eastAsia" w:ascii="仿宋_GB2312" w:hAnsi="仿宋" w:eastAsia="仿宋_GB2312" w:cs="宋体"/>
          <w:kern w:val="0"/>
          <w:sz w:val="32"/>
          <w:szCs w:val="32"/>
        </w:rPr>
        <w:t>万元，比20</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年预算</w:t>
      </w:r>
      <w:r>
        <w:rPr>
          <w:rFonts w:hint="eastAsia" w:ascii="仿宋_GB2312" w:hAnsi="仿宋" w:eastAsia="仿宋_GB2312" w:cs="宋体"/>
          <w:kern w:val="0"/>
          <w:sz w:val="32"/>
          <w:szCs w:val="32"/>
          <w:lang w:eastAsia="zh-CN"/>
        </w:rPr>
        <w:t>减少</w:t>
      </w:r>
      <w:r>
        <w:rPr>
          <w:rFonts w:hint="eastAsia" w:ascii="仿宋_GB2312" w:hAnsi="仿宋" w:eastAsia="仿宋_GB2312" w:cs="宋体"/>
          <w:kern w:val="0"/>
          <w:sz w:val="32"/>
          <w:szCs w:val="32"/>
          <w:lang w:val="en-US" w:eastAsia="zh-CN"/>
        </w:rPr>
        <w:t>0.35</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减少</w:t>
      </w:r>
      <w:r>
        <w:rPr>
          <w:rFonts w:hint="eastAsia" w:ascii="仿宋_GB2312" w:hAnsi="仿宋" w:eastAsia="仿宋_GB2312" w:cs="宋体"/>
          <w:kern w:val="0"/>
          <w:sz w:val="32"/>
          <w:szCs w:val="32"/>
          <w:lang w:val="en-US" w:eastAsia="zh-CN"/>
        </w:rPr>
        <w:t>0.38</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因</w:t>
      </w:r>
      <w:r>
        <w:rPr>
          <w:rFonts w:hint="eastAsia" w:ascii="仿宋_GB2312" w:hAnsi="仿宋" w:eastAsia="仿宋_GB2312" w:cs="仿宋_GB2312"/>
          <w:sz w:val="32"/>
          <w:szCs w:val="32"/>
          <w:lang w:eastAsia="zh-CN"/>
        </w:rPr>
        <w:t>公用经费压缩。</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厦门市归国华侨联合会</w:t>
      </w:r>
      <w:r>
        <w:rPr>
          <w:rFonts w:hint="eastAsia" w:ascii="仿宋_GB2312" w:hAnsi="仿宋" w:eastAsia="仿宋_GB2312" w:cs="宋体"/>
          <w:kern w:val="0"/>
          <w:sz w:val="32"/>
          <w:szCs w:val="32"/>
        </w:rPr>
        <w:t>政府采购预算总额</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万元，其中：政府采购货物预算</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万元，政府采购工程预算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万元，政府采购服务预算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年12月31日，</w:t>
      </w:r>
      <w:r>
        <w:rPr>
          <w:rFonts w:hint="eastAsia" w:ascii="仿宋_GB2312" w:hAnsi="仿宋" w:eastAsia="仿宋_GB2312" w:cs="仿宋_GB2312"/>
          <w:sz w:val="32"/>
          <w:szCs w:val="32"/>
          <w:lang w:eastAsia="zh-CN"/>
        </w:rPr>
        <w:t>厦门市归国华侨联合会</w:t>
      </w:r>
      <w:r>
        <w:rPr>
          <w:rFonts w:hint="eastAsia" w:ascii="仿宋_GB2312" w:hAnsi="仿宋" w:eastAsia="仿宋_GB2312" w:cs="仿宋_GB2312"/>
          <w:sz w:val="32"/>
          <w:szCs w:val="32"/>
        </w:rPr>
        <w:t>所属各预算单位共有车辆</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宋体"/>
          <w:kern w:val="0"/>
          <w:sz w:val="32"/>
          <w:szCs w:val="32"/>
          <w:lang w:eastAsia="zh-CN"/>
        </w:rPr>
        <w:t>厦门市归国华侨联合会</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年实行绩效目标管理的项目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个，涉及一般公共预算拨款</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第四部分  20</w:t>
      </w:r>
      <w:r>
        <w:rPr>
          <w:rFonts w:hint="eastAsia" w:ascii="黑体" w:hAnsi="黑体" w:eastAsia="黑体"/>
          <w:sz w:val="32"/>
          <w:szCs w:val="32"/>
          <w:lang w:val="en-US" w:eastAsia="zh-CN"/>
        </w:rPr>
        <w:t>20</w:t>
      </w:r>
      <w:r>
        <w:rPr>
          <w:rFonts w:hint="eastAsia" w:ascii="黑体" w:hAnsi="黑体" w:eastAsia="黑体"/>
          <w:sz w:val="32"/>
          <w:szCs w:val="32"/>
        </w:rPr>
        <w:t>年部门预算附表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r>
        <w:rPr>
          <w:rFonts w:hint="eastAsia" w:ascii="仿宋_GB2312" w:hAnsi="仿宋" w:eastAsia="仿宋_GB2312" w:cs="仿宋_GB2312"/>
          <w:sz w:val="32"/>
          <w:szCs w:val="32"/>
          <w:lang w:eastAsia="zh-CN"/>
        </w:rPr>
        <w:t>（空表，无政府性基金预算支出）</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r>
        <w:rPr>
          <w:rFonts w:hint="eastAsia" w:ascii="仿宋_GB2312" w:hAnsi="仿宋" w:eastAsia="仿宋_GB2312" w:cs="仿宋_GB2312"/>
          <w:sz w:val="32"/>
          <w:szCs w:val="32"/>
          <w:lang w:eastAsia="zh-CN"/>
        </w:rPr>
        <w:t>（空表，无市对区转移支付）</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十一、项目绩效目标表(</w:t>
      </w:r>
      <w:r>
        <w:rPr>
          <w:rFonts w:hint="eastAsia" w:ascii="仿宋_GB2312" w:hAnsi="仿宋" w:eastAsia="仿宋_GB2312" w:cs="仿宋_GB2312"/>
          <w:sz w:val="32"/>
          <w:szCs w:val="32"/>
          <w:lang w:eastAsia="zh-CN"/>
        </w:rPr>
        <w:t>空表，非</w:t>
      </w:r>
      <w:r>
        <w:rPr>
          <w:rFonts w:hint="eastAsia" w:ascii="仿宋_GB2312" w:hAnsi="仿宋" w:eastAsia="仿宋_GB2312" w:cs="仿宋_GB2312"/>
          <w:sz w:val="32"/>
          <w:szCs w:val="32"/>
        </w:rPr>
        <w:t>试点公开部门)</w:t>
      </w: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17B8F"/>
    <w:rsid w:val="030605D1"/>
    <w:rsid w:val="0C817B8F"/>
    <w:rsid w:val="162606BB"/>
    <w:rsid w:val="1FEF304E"/>
    <w:rsid w:val="2D277447"/>
    <w:rsid w:val="37F04E62"/>
    <w:rsid w:val="3EEC5D6E"/>
    <w:rsid w:val="58CE7C7B"/>
    <w:rsid w:val="682F7924"/>
    <w:rsid w:val="76FA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2021-02-01T04:59:00Z</dcterms:created>
  <dc:creator>DELL1</dc:creator>
  <cp:lastModifiedBy>DELL1</cp:lastModifiedBy>
  <dcterms:modified xsi:type="dcterms:W3CDTF">2022-02-11T07:30:33Z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