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 xml:space="preserve"> </w:t>
      </w:r>
    </w:p>
    <w:p>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宋体" w:hAnsi="宋体" w:eastAsia="宋体" w:cs="宋体"/>
          <w:kern w:val="0"/>
          <w:sz w:val="84"/>
          <w:szCs w:val="84"/>
          <w:shd w:val="clear" w:fill="FFFFFF"/>
        </w:rPr>
        <w:t xml:space="preserve"> </w:t>
      </w:r>
    </w:p>
    <w:p>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目 录</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第一部分 部门概况</w:t>
      </w:r>
      <w:r>
        <w:rPr>
          <w:rFonts w:hint="eastAsia" w:ascii="仿宋" w:hAnsi="仿宋" w:eastAsia="仿宋" w:cs="仿宋"/>
          <w:kern w:val="0"/>
          <w:sz w:val="32"/>
          <w:szCs w:val="32"/>
          <w:shd w:val="clear" w:fill="FFFFFF"/>
        </w:rPr>
        <w:t xml:space="preserve">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一、部门主要职责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二、部门决算单位基本情况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三、部门主要工作总结...............................</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 xml:space="preserve">第二部分 </w:t>
      </w:r>
      <w:r>
        <w:rPr>
          <w:rFonts w:hint="eastAsia" w:ascii="仿宋" w:hAnsi="仿宋" w:eastAsia="仿宋" w:cs="仿宋"/>
          <w:kern w:val="0"/>
          <w:sz w:val="32"/>
          <w:szCs w:val="32"/>
          <w:shd w:val="clear" w:fill="FFFFFF"/>
        </w:rPr>
        <w:t>2020</w:t>
      </w:r>
      <w:r>
        <w:rPr>
          <w:rFonts w:hint="eastAsia" w:ascii="仿宋" w:hAnsi="仿宋" w:eastAsia="仿宋" w:cs="仿宋"/>
          <w:b/>
          <w:bCs/>
          <w:kern w:val="0"/>
          <w:sz w:val="32"/>
          <w:szCs w:val="32"/>
          <w:shd w:val="clear" w:fill="FFFFFF"/>
        </w:rPr>
        <w:t>年度部门决算表</w:t>
      </w:r>
      <w:r>
        <w:rPr>
          <w:rFonts w:hint="eastAsia" w:ascii="仿宋" w:hAnsi="仿宋" w:eastAsia="仿宋" w:cs="仿宋"/>
          <w:kern w:val="0"/>
          <w:sz w:val="32"/>
          <w:szCs w:val="32"/>
          <w:shd w:val="clear" w:fill="FFFFFF"/>
        </w:rPr>
        <w:t xml:space="preserve">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一、收入支出决算总表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二、收入决算表 ............................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三、支出决算表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四、财政拨款收入支出决算总表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五、一般公共预算财政拨款支出决算表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六、一般公共预算财政拨款基本支出决算表...............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七、一般公共预算财政拨款“三公”经费支出决算表.......</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八、政府性基金预算财政拨款收入支出决算表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九、国有资本经营预算财政拨款支出决算表.................</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 xml:space="preserve">第三部分 </w:t>
      </w:r>
      <w:r>
        <w:rPr>
          <w:rFonts w:hint="eastAsia" w:ascii="仿宋" w:hAnsi="仿宋" w:eastAsia="仿宋" w:cs="仿宋"/>
          <w:kern w:val="0"/>
          <w:sz w:val="32"/>
          <w:szCs w:val="32"/>
          <w:shd w:val="clear" w:fill="FFFFFF"/>
        </w:rPr>
        <w:t>2020</w:t>
      </w:r>
      <w:r>
        <w:rPr>
          <w:rFonts w:hint="eastAsia" w:ascii="仿宋" w:hAnsi="仿宋" w:eastAsia="仿宋" w:cs="仿宋"/>
          <w:b/>
          <w:bCs/>
          <w:kern w:val="0"/>
          <w:sz w:val="32"/>
          <w:szCs w:val="32"/>
          <w:shd w:val="clear" w:fill="FFFFFF"/>
        </w:rPr>
        <w:t>年度部门决算情况说明</w:t>
      </w:r>
      <w:r>
        <w:rPr>
          <w:rFonts w:hint="eastAsia" w:ascii="仿宋" w:hAnsi="仿宋" w:eastAsia="仿宋" w:cs="仿宋"/>
          <w:kern w:val="0"/>
          <w:sz w:val="32"/>
          <w:szCs w:val="32"/>
          <w:shd w:val="clear" w:fill="FFFFFF"/>
        </w:rPr>
        <w:t xml:space="preserve">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一、收入支出决算总体情况说明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二、一般公共预算财政拨款支出决算情况说明............</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三、政府性基金支出决算情况说明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四、国有资本经营预算财政拨款支出决算情况说明........</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五、一般公共预算财政拨款基本支出决算情况说明........</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六、一般公共预算财政拨款“三公”经费支出决算情况说明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七、预算绩效情况说明................................</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八、其他重要事项情况说明......................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第四部分 名词解释</w:t>
      </w:r>
      <w:r>
        <w:rPr>
          <w:rFonts w:hint="eastAsia" w:ascii="仿宋" w:hAnsi="仿宋" w:eastAsia="仿宋" w:cs="仿宋"/>
          <w:kern w:val="0"/>
          <w:sz w:val="32"/>
          <w:szCs w:val="32"/>
          <w:shd w:val="clear" w:fill="FFFFFF"/>
        </w:rPr>
        <w:t xml:space="preserve"> .................................</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第五部分 附件</w:t>
      </w:r>
      <w:r>
        <w:rPr>
          <w:rFonts w:hint="eastAsia" w:ascii="仿宋" w:hAnsi="仿宋" w:eastAsia="仿宋" w:cs="仿宋"/>
          <w:kern w:val="0"/>
          <w:sz w:val="32"/>
          <w:szCs w:val="32"/>
          <w:shd w:val="clear" w:fill="FFFFFF"/>
        </w:rPr>
        <w:t xml:space="preserve"> .....................................</w:t>
      </w:r>
    </w:p>
    <w:p>
      <w:pPr>
        <w:shd w:val="clear" w:fill="FFFFFF"/>
        <w:spacing w:before="240" w:beforeAutospacing="0" w:after="240" w:afterAutospacing="0"/>
        <w:ind w:left="0" w:right="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w:t>
      </w:r>
    </w:p>
    <w:p>
      <w:pPr>
        <w:rPr>
          <w:rFonts w:hint="eastAsia" w:ascii="黑体" w:hAnsi="宋体" w:eastAsia="黑体" w:cs="黑体"/>
          <w:kern w:val="0"/>
          <w:sz w:val="36"/>
          <w:szCs w:val="36"/>
          <w:shd w:val="clear" w:fill="FFFFFF"/>
        </w:rPr>
        <w:sectPr>
          <w:headerReference r:id="rId3" w:type="default"/>
          <w:footerReference r:id="rId4" w:type="default"/>
          <w:pgSz w:w="11915" w:h="16851"/>
          <w:pgMar w:top="1440" w:right="1800" w:bottom="1440" w:left="1800" w:header="851" w:footer="992" w:gutter="0"/>
          <w:cols w:space="0" w:num="1"/>
          <w:docGrid w:type="lines" w:linePitch="312" w:charSpace="0"/>
        </w:sectPr>
      </w:pPr>
    </w:p>
    <w:p>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第一部分 部门概况</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一、部门主要职责</w:t>
      </w:r>
    </w:p>
    <w:p>
      <w:pPr>
        <w:autoSpaceDE w:val="0"/>
        <w:autoSpaceDN/>
        <w:snapToGrid w:val="0"/>
        <w:spacing w:line="520" w:lineRule="exact"/>
        <w:ind w:lef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厦门市人民政府国有资产监督管理委员会部门的主要职责是：</w:t>
      </w:r>
    </w:p>
    <w:p>
      <w:pPr>
        <w:autoSpaceDE w:val="0"/>
        <w:autoSpaceDN/>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1</w:t>
      </w:r>
      <w:r>
        <w:rPr>
          <w:rFonts w:hint="eastAsia" w:ascii="宋体" w:hAnsi="宋体" w:eastAsia="宋体" w:cs="宋体"/>
          <w:kern w:val="0"/>
          <w:sz w:val="32"/>
          <w:szCs w:val="32"/>
        </w:rPr>
        <w:t>）贯彻执行国家和省、市有关国有资产监督管理的法律法规和方针、政策，起草我市有关国有资产监督管理的地方性法规、规章以及有关规范性文件，经批准后组织实施。拟订经营性国有资产的监管制度和办法并组织实施。</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2</w:t>
      </w:r>
      <w:r>
        <w:rPr>
          <w:rFonts w:hint="eastAsia" w:ascii="宋体" w:hAnsi="宋体" w:eastAsia="宋体" w:cs="宋体"/>
          <w:kern w:val="0"/>
          <w:sz w:val="32"/>
          <w:szCs w:val="32"/>
        </w:rPr>
        <w:t>）根据市政府授权，依照法律法规履行出资人职责，依法维护国有资产出资人权益。</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3</w:t>
      </w:r>
      <w:r>
        <w:rPr>
          <w:rFonts w:hint="eastAsia" w:ascii="宋体" w:hAnsi="宋体" w:eastAsia="宋体" w:cs="宋体"/>
          <w:kern w:val="0"/>
          <w:sz w:val="32"/>
          <w:szCs w:val="32"/>
        </w:rPr>
        <w:t>）承担监管市属企业国有资产的相统一，管资产与管人、管事相结合的国有资产管理体制。</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4</w:t>
      </w:r>
      <w:r>
        <w:rPr>
          <w:rFonts w:hint="eastAsia" w:ascii="宋体" w:hAnsi="宋体" w:eastAsia="宋体" w:cs="宋体"/>
          <w:kern w:val="0"/>
          <w:sz w:val="32"/>
          <w:szCs w:val="32"/>
        </w:rPr>
        <w:t>）承担监督所监管企业国有资产保值增值的责任，建立和健全国有资产保值增值指标体系，制定考核标准，通过统计、审计和稽核等方式，对所监管企业国有资产的保值增值情况进行监管。</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5</w:t>
      </w:r>
      <w:r>
        <w:rPr>
          <w:rFonts w:hint="eastAsia" w:ascii="宋体" w:hAnsi="宋体" w:eastAsia="宋体" w:cs="宋体"/>
          <w:kern w:val="0"/>
          <w:sz w:val="32"/>
          <w:szCs w:val="32"/>
        </w:rPr>
        <w:t>）负责所监管企业工资分配管理工作，制定并组织实施所监管企业负责人收入分配政策，规范所监管企业负责人收入分配、职务消费。</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6</w:t>
      </w:r>
      <w:r>
        <w:rPr>
          <w:rFonts w:hint="eastAsia" w:ascii="宋体" w:hAnsi="宋体" w:eastAsia="宋体" w:cs="宋体"/>
          <w:kern w:val="0"/>
          <w:sz w:val="32"/>
          <w:szCs w:val="32"/>
        </w:rPr>
        <w:t>）按照出资人职责，依法参与所监管企业的重大决策。指导所监管国有企业改革发展总体规划的研究编制，推动国有经济布局和结构战略性调整。指导推进国有企业改革和重组，指导国有企业现代企业制度建设，依法建立和完善法人治理结构。</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7</w:t>
      </w:r>
      <w:r>
        <w:rPr>
          <w:rFonts w:hint="eastAsia" w:ascii="宋体" w:hAnsi="宋体" w:eastAsia="宋体" w:cs="宋体"/>
          <w:kern w:val="0"/>
          <w:sz w:val="32"/>
          <w:szCs w:val="32"/>
        </w:rPr>
        <w:t>）按照市委规定，通过法定程序对所监管企业负责人进行任免、考核并根据其经营业绩进行奖惩。建立符合社会主义市场经济体制和现代企业制度要求的选人、用人机制，完善经营者激励和约束制度。</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8</w:t>
      </w:r>
      <w:r>
        <w:rPr>
          <w:rFonts w:hint="eastAsia" w:ascii="宋体" w:hAnsi="宋体" w:eastAsia="宋体" w:cs="宋体"/>
          <w:kern w:val="0"/>
          <w:sz w:val="32"/>
          <w:szCs w:val="32"/>
        </w:rPr>
        <w:t>）负责向所监管企业委派或推荐董事、监事，负责企业董事会和派出监事小组的日常管理工作。按照企业负责人管理权限的规定，负责所监管企业负责人的经济责任审计工作。</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9</w:t>
      </w:r>
      <w:r>
        <w:rPr>
          <w:rFonts w:hint="eastAsia" w:ascii="宋体" w:hAnsi="宋体" w:eastAsia="宋体" w:cs="宋体"/>
          <w:kern w:val="0"/>
          <w:sz w:val="32"/>
          <w:szCs w:val="32"/>
        </w:rPr>
        <w:t>）负责组织和监督所监管企业上交国有资本收益，依法承担所监管企业年度国有资本经营预算编制和执行有关工作。</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10</w:t>
      </w:r>
      <w:r>
        <w:rPr>
          <w:rFonts w:hint="eastAsia" w:ascii="宋体" w:hAnsi="宋体" w:eastAsia="宋体" w:cs="宋体"/>
          <w:kern w:val="0"/>
          <w:sz w:val="32"/>
          <w:szCs w:val="32"/>
        </w:rPr>
        <w:t>）依法对区级国有资产监管相关工作进行指导和监督。</w:t>
      </w:r>
    </w:p>
    <w:p>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11</w:t>
      </w:r>
      <w:r>
        <w:rPr>
          <w:rFonts w:hint="eastAsia" w:ascii="宋体" w:hAnsi="宋体" w:eastAsia="宋体" w:cs="宋体"/>
          <w:kern w:val="0"/>
          <w:sz w:val="32"/>
          <w:szCs w:val="32"/>
        </w:rPr>
        <w:t>）负责督促检查所监管企业贯彻落实国家安全生产方针及有关法律法规、标准等工作。</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w:t>
      </w:r>
      <w:r>
        <w:rPr>
          <w:rFonts w:hint="default" w:ascii="仿宋_GB2312" w:hAnsi="仿宋" w:eastAsia="仿宋_GB2312" w:cs="仿宋_GB2312"/>
          <w:kern w:val="0"/>
          <w:sz w:val="32"/>
          <w:szCs w:val="32"/>
          <w:shd w:val="clear" w:fill="FFFFFF"/>
        </w:rPr>
        <w:t>12</w:t>
      </w:r>
      <w:r>
        <w:rPr>
          <w:rFonts w:hint="eastAsia" w:ascii="宋体" w:hAnsi="宋体" w:eastAsia="宋体" w:cs="宋体"/>
          <w:kern w:val="0"/>
          <w:sz w:val="32"/>
          <w:szCs w:val="32"/>
          <w:shd w:val="clear" w:fill="FFFFFF"/>
        </w:rPr>
        <w:t>）承办市政府交办的其他事项。</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二、部门决算单位基本情况</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从决算单位构成看，厦门市人民政府国有资产监督管理委员会部门包括10个机关行政处（科）室及0个下属单位，其中：列入2020年部门决算编制范围的单位详细情况见下表:</w:t>
      </w:r>
    </w:p>
    <w:tbl>
      <w:tblPr>
        <w:tblStyle w:val="15"/>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40"/>
        <w:gridCol w:w="189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64" w:hRule="atLeast"/>
          <w:jc w:val="center"/>
        </w:trPr>
        <w:tc>
          <w:tcPr>
            <w:tcW w:w="514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单位名称</w:t>
            </w:r>
          </w:p>
        </w:tc>
        <w:tc>
          <w:tcPr>
            <w:tcW w:w="189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单位性质</w:t>
            </w:r>
          </w:p>
        </w:tc>
        <w:tc>
          <w:tcPr>
            <w:tcW w:w="146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14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line="600" w:lineRule="atLeast"/>
              <w:rPr>
                <w:rFonts w:hint="eastAsia" w:ascii="宋体" w:hAnsi="宋体" w:eastAsia="仿宋" w:cs="宋体"/>
                <w:kern w:val="0"/>
                <w:sz w:val="24"/>
                <w:szCs w:val="24"/>
                <w:shd w:val="clear" w:fill="FFFFFF"/>
              </w:rPr>
            </w:pPr>
            <w:r>
              <w:rPr>
                <w:rFonts w:hint="eastAsia" w:ascii="宋体" w:hAnsi="宋体" w:eastAsia="宋体" w:cs="宋体"/>
                <w:b/>
                <w:bCs/>
                <w:kern w:val="0"/>
                <w:sz w:val="32"/>
                <w:szCs w:val="32"/>
                <w:shd w:val="clear" w:fill="FFFFFF"/>
              </w:rPr>
              <w:t> </w:t>
            </w:r>
            <w:r>
              <w:rPr>
                <w:rFonts w:hint="eastAsia" w:ascii="仿宋" w:hAnsi="仿宋" w:eastAsia="仿宋" w:cs="仿宋"/>
                <w:kern w:val="0"/>
                <w:sz w:val="24"/>
                <w:szCs w:val="24"/>
                <w:shd w:val="clear" w:fill="FFFFFF"/>
              </w:rPr>
              <w:t>厦门市人民政府国有资产监督管理委员会</w:t>
            </w:r>
          </w:p>
        </w:tc>
        <w:tc>
          <w:tcPr>
            <w:tcW w:w="1890"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line="600" w:lineRule="atLeas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行政单位</w:t>
            </w:r>
          </w:p>
        </w:tc>
        <w:tc>
          <w:tcPr>
            <w:tcW w:w="1464"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line="600" w:lineRule="atLeas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47</w:t>
            </w:r>
          </w:p>
        </w:tc>
      </w:tr>
    </w:tbl>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三、部门主要工作总结</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2020年，厦门市人民政府国有资产监督管理委员会部门主要任务是：加强党对国有企业的全面领导，推动国有企业高质量发展、推进新时期国有企业改革，完善国有企业监管体制等。围绕上述任务，重点完成了以下工作：</w:t>
      </w:r>
    </w:p>
    <w:p>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（一）国有经济高质量发展再上新台阶。</w:t>
      </w:r>
      <w:r>
        <w:rPr>
          <w:rFonts w:hint="eastAsia" w:ascii="宋体" w:hAnsi="宋体" w:eastAsia="宋体" w:cs="宋体"/>
          <w:kern w:val="0"/>
          <w:sz w:val="32"/>
          <w:szCs w:val="32"/>
        </w:rPr>
        <w:t>面对前所未有的严峻形势，国资委紧紧围绕“六稳”“六保”工作任务，攻坚克难、顽强拼搏，努力推动国有企业经济效益企稳回升。2020年，市国资委所出资企业资产总额、营业收入13844亿元，利润总额均逆势实现20%左右的增幅。与2015年相比，资产总额增长126%、营业收入增长257%、利润总额增长103%，“十三五”期间主要财务指标翻一番。国企品牌实力大幅提升，2020年建发集团（排名234）、国贸控股（排名284）、象屿集团（排名298）继续跻身《财富》世界500强榜单。</w:t>
      </w:r>
    </w:p>
    <w:p>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（二）国企改革重点领域提速攻坚突破。</w:t>
      </w:r>
      <w:r>
        <w:rPr>
          <w:rFonts w:hint="eastAsia" w:ascii="宋体" w:hAnsi="宋体" w:eastAsia="宋体" w:cs="宋体"/>
          <w:kern w:val="0"/>
          <w:sz w:val="32"/>
          <w:szCs w:val="32"/>
        </w:rPr>
        <w:t>印发实施《厦门市国企改革三年行动实施方案》。</w:t>
      </w:r>
      <w:r>
        <w:rPr>
          <w:rFonts w:hint="eastAsia" w:ascii="宋体" w:hAnsi="宋体" w:eastAsia="宋体" w:cs="宋体"/>
          <w:b/>
          <w:bCs/>
          <w:kern w:val="0"/>
          <w:sz w:val="32"/>
          <w:szCs w:val="32"/>
        </w:rPr>
        <w:t>“党建+董监高”法人治理结构持续完善。</w:t>
      </w:r>
      <w:r>
        <w:rPr>
          <w:rFonts w:hint="eastAsia" w:ascii="宋体" w:hAnsi="宋体" w:eastAsia="宋体" w:cs="宋体"/>
          <w:kern w:val="0"/>
          <w:sz w:val="32"/>
          <w:szCs w:val="32"/>
        </w:rPr>
        <w:t>明确党组织在公司治理中的法定地位，推动国企把党建内容写入公司章程。优化董事会结构，配优配齐董事会成员，首批选聘10名外部董事。推动监事会试点，成立建发建团、国贸控股集团新一届监事会，象屿集团监事会正加快筹建。市场化选聘（转任）11名职业经理人。</w:t>
      </w:r>
      <w:r>
        <w:rPr>
          <w:rFonts w:hint="eastAsia" w:ascii="宋体" w:hAnsi="宋体" w:eastAsia="宋体" w:cs="宋体"/>
          <w:b/>
          <w:bCs/>
          <w:kern w:val="0"/>
          <w:sz w:val="32"/>
          <w:szCs w:val="32"/>
        </w:rPr>
        <w:t>多措并举深化改革重组。</w:t>
      </w:r>
      <w:r>
        <w:rPr>
          <w:rFonts w:hint="eastAsia" w:ascii="宋体" w:hAnsi="宋体" w:eastAsia="宋体" w:cs="宋体"/>
          <w:kern w:val="0"/>
          <w:sz w:val="32"/>
          <w:szCs w:val="32"/>
        </w:rPr>
        <w:t>加快推动市属国企混合所有制改革，开展第二批员工持股试点工作，市属企业整体混改率达70%，带动社会资本超过200亿元。健全国有资本授权经营体制，新设成立国有资本运营公司，批复4家企业改组国有资本投资公司方案。国企战略性重组步伐加快，夏商集团成立农业发展公司，配合省政府组建省港口集团，研究制定花木集团组建方案。</w:t>
      </w:r>
      <w:r>
        <w:rPr>
          <w:rFonts w:hint="eastAsia" w:ascii="宋体" w:hAnsi="宋体" w:eastAsia="宋体" w:cs="宋体"/>
          <w:b/>
          <w:bCs/>
          <w:kern w:val="0"/>
          <w:sz w:val="32"/>
          <w:szCs w:val="32"/>
        </w:rPr>
        <w:t>资产证券化大幅提速</w:t>
      </w:r>
      <w:r>
        <w:rPr>
          <w:rFonts w:hint="eastAsia" w:ascii="宋体" w:hAnsi="宋体" w:eastAsia="宋体" w:cs="宋体"/>
          <w:kern w:val="0"/>
          <w:sz w:val="32"/>
          <w:szCs w:val="32"/>
        </w:rPr>
        <w:t>。印发实施《厦门国有资产证券化及国有控股上市公司高质量发展三年（2020-2022年）行动计划》，推动国有企业借力资本市场加快实现高质量发展。建发物业在香港上市，中红医疗IPO通过发审会审核，国有上市公司达8家（建发股份等4家企业为上证综合指数成分股），新三板上市4家，资产证券化率40%。</w:t>
      </w:r>
    </w:p>
    <w:p>
      <w:pPr>
        <w:pStyle w:val="2"/>
        <w:spacing w:line="580" w:lineRule="exact"/>
        <w:ind w:left="0" w:firstLine="643" w:firstLineChars="200"/>
        <w:rPr>
          <w:rFonts w:hint="eastAsia" w:ascii="宋体" w:hAnsi="宋体" w:eastAsia="宋体" w:cs="宋体"/>
          <w:kern w:val="2"/>
          <w:sz w:val="32"/>
          <w:szCs w:val="32"/>
        </w:rPr>
      </w:pPr>
      <w:r>
        <w:rPr>
          <w:rFonts w:hint="eastAsia" w:ascii="宋体" w:hAnsi="宋体" w:eastAsia="宋体" w:cs="宋体"/>
          <w:b/>
          <w:bCs/>
          <w:kern w:val="2"/>
          <w:sz w:val="32"/>
          <w:szCs w:val="32"/>
        </w:rPr>
        <w:t>（三）国资监管激励约束机制更加健全。</w:t>
      </w:r>
      <w:r>
        <w:rPr>
          <w:rFonts w:hint="eastAsia" w:ascii="宋体" w:hAnsi="宋体" w:eastAsia="宋体" w:cs="宋体"/>
          <w:kern w:val="2"/>
          <w:sz w:val="32"/>
          <w:szCs w:val="32"/>
        </w:rPr>
        <w:t>加快以管资本为主转变职能，动态完善国资监管权责清单，在投资管理、资产处置、资产出租等方面加大授权试点。突出效益效率、服务保障、创新驱动，科学合理设置考核指标，进一步健全差异化分类考核评价体系。深化企业薪酬激励改革，印发《厦门市国资委所出资企业工资总额管理办法（试行）》，在3家企业推行股权激励计划，有效激发工作积极性。出台《关于新时期进一步加强和改进市属国有企业国有资产监督工作的意见》《关于加强市级国有金融资本风险监管的若干措施》等文件，加强国有资产各领域的监督管理。完善国企责任追究制度体系，督导18家所出资企业建立责任追究制度和报告制度，健全董事会、公司经营、子公司层面多级风险管理架构。</w:t>
      </w:r>
    </w:p>
    <w:p>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（四）主动服务全市大局作出应有贡献。</w:t>
      </w:r>
      <w:r>
        <w:rPr>
          <w:rFonts w:hint="eastAsia" w:ascii="宋体" w:hAnsi="宋体" w:eastAsia="宋体" w:cs="宋体"/>
          <w:kern w:val="0"/>
          <w:sz w:val="32"/>
          <w:szCs w:val="32"/>
        </w:rPr>
        <w:t>全力以赴抗疫情稳运行，建立国企疫情防控机制，全方位保障我市口罩供应、公共交通、用水用气、“菜蓝子、米袋子”，积极稳市场、稳供应、稳预期。推动11家市属国企列入市级疫情防控重点保障企业名单，组织国资国企发动疫情捐款捐物累计3775万元，推动落实租金减免政策8.06亿元。深入开展国资国企招商引资三年千亿行动，策划推动网宇集团云计算总部、国家光电子创新中心新基建平台、中铁研究院（厦门）公司等项目，现有国资国企招商项目共计294个，意向计划总投资约2149.88亿元。加快国企战略发展基金实质运作，国企子基金总规模扩容至126亿元。助力“岛内大提升、岛外大发展”，2020年市属国企共承接199个重点建设项目，全年完成建设投资额639.4亿元，约占全市重点项目总投资的51.6%，轨道3、6号线，新机场和三条进出岛新通道等项目建设如火如荼、进展良好。</w:t>
      </w:r>
    </w:p>
    <w:p>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（五）党建统领国资国企作用不断加强。</w:t>
      </w:r>
      <w:r>
        <w:rPr>
          <w:rFonts w:hint="eastAsia" w:ascii="宋体" w:hAnsi="宋体" w:eastAsia="宋体" w:cs="宋体"/>
          <w:kern w:val="0"/>
          <w:sz w:val="32"/>
          <w:szCs w:val="32"/>
        </w:rPr>
        <w:t>开展“深化大学习、提振精气神”活动，认真制定活动计划，落实落细学习任务，切实掀起国资系统学习热潮。出台《党委专职副书记党的建设工作直接责任清单》《关于市直管国有企业进一步加强党建工作考核及结果运用的指导意见》，将党建考核结果与企业相关人员薪酬绩效挂钩，压实党建工作责任。提高基层党建水平，持续打造国企党建标杆升级版，2020年16家市直管国企新设立党组89个，发展党员499人，新增党务干部230人，申报党建品牌126个，国企基层党建力量显著增强。从严从实抓好巡视巡察整改，成立督促国企巡察整改工作领导小组，对15家市直管国有企业党委巡察发现问题整改未完成事项进行再梳理再督促，建立长效机制，围绕市委巡察反馈问题，制定完善制度20个。</w:t>
      </w:r>
    </w:p>
    <w:p>
      <w:pPr>
        <w:shd w:val="clear" w:fill="FFFFFF"/>
        <w:spacing w:before="240" w:beforeAutospacing="0" w:after="240" w:afterAutospacing="0" w:line="600" w:lineRule="atLeast"/>
        <w:ind w:left="0" w:right="0"/>
        <w:jc w:val="center"/>
        <w:outlineLvl w:val="0"/>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第二部分 2020年度部门决算表</w:t>
      </w:r>
    </w:p>
    <w:p>
      <w:pPr>
        <w:shd w:val="clear" w:fill="FFFFFF"/>
        <w:spacing w:before="240" w:beforeAutospacing="0" w:after="240" w:afterAutospacing="0"/>
        <w:ind w:left="720" w:right="0" w:hanging="72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 xml:space="preserve">一、收入支出决算总表 </w:t>
      </w:r>
    </w:p>
    <w:tbl>
      <w:tblPr>
        <w:tblStyle w:val="15"/>
        <w:tblW w:w="905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194"/>
        <w:gridCol w:w="1651"/>
        <w:gridCol w:w="276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40" w:hRule="atLeast"/>
        </w:trPr>
        <w:tc>
          <w:tcPr>
            <w:tcW w:w="9057" w:type="dxa"/>
            <w:gridSpan w:val="4"/>
            <w:tcBorders>
              <w:top w:val="nil"/>
              <w:left w:val="nil"/>
              <w:bottom w:val="nil"/>
              <w:right w:val="nil"/>
            </w:tcBorders>
            <w:shd w:val="clear" w:color="auto" w:fill="auto"/>
            <w:vAlign w:val="bottom"/>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057" w:type="dxa"/>
            <w:gridSpan w:val="4"/>
            <w:tcBorders>
              <w:top w:val="nil"/>
              <w:left w:val="nil"/>
              <w:bottom w:val="nil"/>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r>
              <w:rPr>
                <w:rFonts w:hint="eastAsia" w:ascii="宋体" w:hAnsi="宋体" w:eastAsia="宋体" w:cs="宋体"/>
                <w:kern w:val="0"/>
                <w:sz w:val="20"/>
                <w:szCs w:val="20"/>
                <w:shd w:val="clear" w:fill="FFFFFF"/>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4845"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4212"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4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收入</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决算数</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项目(按支出功能分类)</w:t>
            </w:r>
          </w:p>
        </w:tc>
        <w:tc>
          <w:tcPr>
            <w:tcW w:w="145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一、一般公共预算财政拨款收入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7,884.17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一、一般公共服务支出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二、政府性基金预算财政拨款收入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二、外交支出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三、国有资本经营预算财政拨款收入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三、国防支出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四、上级补助收入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四、公共安全支出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五、事业收入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五、教育支出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六、经营收入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六、科学技术支出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七、附属单位上缴收入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七、文化旅游体育与传媒支出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八</w:t>
            </w:r>
            <w:r>
              <w:rPr>
                <w:rFonts w:hint="eastAsia" w:ascii="宋体" w:hAnsi="宋体" w:eastAsia="宋体" w:cs="宋体"/>
                <w:kern w:val="0"/>
                <w:sz w:val="24"/>
                <w:szCs w:val="24"/>
                <w:shd w:val="clear" w:fill="FFFFFF"/>
              </w:rPr>
              <w:t>、其他收入</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八、社会保障和就业支出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九、卫生健康支出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十、节能环保支出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十一、城乡社区支出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十二、农林水支出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十三、交通运输支出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十四、资源勘探信息等支出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5,786.95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十五、商业服务业等支出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十六、金融支出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十七、援助其他地区支出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十八、自然资源海洋气象等支出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十九、住房保障支出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二十、粮油物资储备支出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二十一、国有资本经营预算支出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二十二、灾害防治及应急管理支出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二十三、其他支出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二十四、债务还本支出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二十五、债务付息支出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二十六、抗疫特别国债安排的支出</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本年收入合计</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22,884.17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本年支出合计</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22,245.55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使用非财政拨款结余</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结余分配</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年初结转和结余</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549.40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年末结转和结余</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1,188.02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65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c>
          <w:tcPr>
            <w:tcW w:w="27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4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注：1. 本表反映部门本年度的总收支和年末结转结余情况。</w:t>
      </w:r>
    </w:p>
    <w:p>
      <w:pPr>
        <w:shd w:val="clear" w:fill="FFFFFF"/>
        <w:spacing w:before="240" w:beforeAutospacing="0" w:after="240" w:afterAutospacing="0"/>
        <w:ind w:left="0" w:right="0" w:firstLine="48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2.本套报表金额单位转换时可能存在尾数误差。</w:t>
      </w:r>
    </w:p>
    <w:p>
      <w:pPr>
        <w:shd w:val="clear" w:fill="FFFFFF"/>
        <w:spacing w:before="240" w:beforeAutospacing="0" w:after="240" w:afterAutospacing="0"/>
        <w:ind w:left="0" w:right="0" w:firstLine="48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 xml:space="preserve">二、收入决算表 </w:t>
      </w:r>
    </w:p>
    <w:tbl>
      <w:tblPr>
        <w:tblStyle w:val="15"/>
        <w:tblW w:w="930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585"/>
        <w:gridCol w:w="570"/>
        <w:gridCol w:w="2260"/>
        <w:gridCol w:w="1070"/>
        <w:gridCol w:w="960"/>
        <w:gridCol w:w="630"/>
        <w:gridCol w:w="615"/>
        <w:gridCol w:w="652"/>
        <w:gridCol w:w="713"/>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376" w:hRule="atLeast"/>
        </w:trPr>
        <w:tc>
          <w:tcPr>
            <w:tcW w:w="9300" w:type="dxa"/>
            <w:gridSpan w:val="11"/>
            <w:tcBorders>
              <w:top w:val="nil"/>
              <w:left w:val="nil"/>
              <w:bottom w:val="nil"/>
              <w:right w:val="nil"/>
            </w:tcBorders>
            <w:shd w:val="clear" w:color="auto" w:fill="auto"/>
            <w:vAlign w:val="bottom"/>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收入决算表</w:t>
            </w:r>
          </w:p>
          <w:p>
            <w:pPr>
              <w:shd w:val="clear" w:fill="FFFFFF"/>
              <w:spacing w:before="0" w:beforeAutospacing="1" w:after="0" w:afterAutospacing="1"/>
              <w:ind w:right="1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6660" w:type="dxa"/>
            <w:gridSpan w:val="7"/>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615"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652"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373"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ind w:left="0" w:firstLine="720" w:firstLineChars="3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宋体" w:hAnsi="宋体" w:eastAsia="宋体" w:cs="宋体"/>
                <w:kern w:val="0"/>
                <w:sz w:val="20"/>
                <w:szCs w:val="20"/>
                <w:shd w:val="clear" w:fill="FFFFFF"/>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4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1070"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本年收入合计</w:t>
            </w:r>
          </w:p>
        </w:tc>
        <w:tc>
          <w:tcPr>
            <w:tcW w:w="960"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财政拨款收入</w:t>
            </w:r>
          </w:p>
        </w:tc>
        <w:tc>
          <w:tcPr>
            <w:tcW w:w="630"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上级补助收入</w:t>
            </w:r>
          </w:p>
        </w:tc>
        <w:tc>
          <w:tcPr>
            <w:tcW w:w="615"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事业收入</w:t>
            </w:r>
          </w:p>
        </w:tc>
        <w:tc>
          <w:tcPr>
            <w:tcW w:w="652"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经营收入</w:t>
            </w:r>
          </w:p>
        </w:tc>
        <w:tc>
          <w:tcPr>
            <w:tcW w:w="713"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附属单位上缴收入</w:t>
            </w:r>
          </w:p>
        </w:tc>
        <w:tc>
          <w:tcPr>
            <w:tcW w:w="660"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支出功能分类科目编码</w:t>
            </w:r>
          </w:p>
        </w:tc>
        <w:tc>
          <w:tcPr>
            <w:tcW w:w="22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107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6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3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1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5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13"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6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类</w:t>
            </w:r>
          </w:p>
        </w:tc>
        <w:tc>
          <w:tcPr>
            <w:tcW w:w="58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款</w:t>
            </w:r>
          </w:p>
        </w:tc>
        <w:tc>
          <w:tcPr>
            <w:tcW w:w="57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w:t>
            </w:r>
          </w:p>
        </w:tc>
        <w:tc>
          <w:tcPr>
            <w:tcW w:w="22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合计</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22,884.17</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22,884.17</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一般公共服务支出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其他一般公共服务支出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其他一般公共服务支出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科学技术支出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科技条件与服务</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其他科技条件与服务支出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2080501</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行政单位离退休</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1,257.96</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1,257.96</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2080505</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机关事业单位基本养老保险缴费支出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卫生健康支出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行政事业单位医疗</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2101101</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行政单位医疗</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54.39</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54.39</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2101103</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公务员医疗补助</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资源勘探工业信息等支出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6,344.64</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6,344.64</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国有资产监管</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5,725.04</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5,725.04</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2150701</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行政运行</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2,201.79</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2,201.79</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2150702</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一般行政管理事务</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2,523.25</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2,523.25</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其他国有资产监管支出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其他资源勘探工业信息等支出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其他资源勘探工业信息等支出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国有资本经营预算支出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其他国有资本经营预算支出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2239901</w:t>
            </w:r>
          </w:p>
        </w:tc>
        <w:tc>
          <w:tcPr>
            <w:tcW w:w="2260"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其他国有资本经营预算支出</w:t>
            </w:r>
          </w:p>
        </w:tc>
        <w:tc>
          <w:tcPr>
            <w:tcW w:w="107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注：本表反映部门本年度取得的各项收入情况。</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三、支出决算表</w:t>
      </w:r>
    </w:p>
    <w:tbl>
      <w:tblPr>
        <w:tblStyle w:val="15"/>
        <w:tblW w:w="9686" w:type="dxa"/>
        <w:tblInd w:w="28" w:type="dxa"/>
        <w:shd w:val="clear" w:color="auto" w:fill="auto"/>
        <w:tblLayout w:type="fixed"/>
        <w:tblCellMar>
          <w:top w:w="0" w:type="dxa"/>
          <w:left w:w="0" w:type="dxa"/>
          <w:bottom w:w="0" w:type="dxa"/>
          <w:right w:w="0" w:type="dxa"/>
        </w:tblCellMar>
      </w:tblPr>
      <w:tblGrid>
        <w:gridCol w:w="435"/>
        <w:gridCol w:w="435"/>
        <w:gridCol w:w="390"/>
        <w:gridCol w:w="2471"/>
        <w:gridCol w:w="1064"/>
        <w:gridCol w:w="989"/>
        <w:gridCol w:w="1019"/>
        <w:gridCol w:w="824"/>
        <w:gridCol w:w="704"/>
        <w:gridCol w:w="1115"/>
        <w:gridCol w:w="240"/>
      </w:tblGrid>
      <w:tr>
        <w:tblPrEx>
          <w:shd w:val="clear" w:color="auto" w:fill="auto"/>
          <w:tblLayout w:type="fixed"/>
          <w:tblCellMar>
            <w:top w:w="0" w:type="dxa"/>
            <w:left w:w="0" w:type="dxa"/>
            <w:bottom w:w="0" w:type="dxa"/>
            <w:right w:w="0" w:type="dxa"/>
          </w:tblCellMar>
        </w:tblPrEx>
        <w:trPr>
          <w:trHeight w:val="495" w:hRule="atLeast"/>
        </w:trPr>
        <w:tc>
          <w:tcPr>
            <w:tcW w:w="9446" w:type="dxa"/>
            <w:gridSpan w:val="10"/>
            <w:tcBorders>
              <w:top w:val="nil"/>
              <w:left w:val="nil"/>
              <w:bottom w:val="nil"/>
              <w:right w:val="nil"/>
            </w:tcBorders>
            <w:shd w:val="clear" w:color="auto" w:fill="auto"/>
            <w:vAlign w:val="bottom"/>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支出决算表</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0" w:hRule="atLeast"/>
        </w:trPr>
        <w:tc>
          <w:tcPr>
            <w:tcW w:w="435"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435"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390"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471"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4"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89"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19"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824"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059" w:type="dxa"/>
            <w:gridSpan w:val="3"/>
            <w:tcBorders>
              <w:top w:val="nil"/>
              <w:left w:val="nil"/>
              <w:bottom w:val="nil"/>
              <w:right w:val="nil"/>
            </w:tcBorders>
            <w:shd w:val="clear" w:color="auto" w:fill="auto"/>
            <w:vAlign w:val="bottom"/>
          </w:tcPr>
          <w:p>
            <w:pPr>
              <w:shd w:val="clear" w:fill="FFFFFF"/>
              <w:spacing w:before="0" w:beforeAutospacing="1" w:after="0" w:afterAutospacing="1"/>
              <w:ind w:right="4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w:t>
            </w:r>
            <w:r>
              <w:rPr>
                <w:rFonts w:hint="default" w:ascii="Arial" w:hAnsi="Arial" w:eastAsia="宋体" w:cs="Arial"/>
                <w:kern w:val="0"/>
                <w:sz w:val="20"/>
                <w:szCs w:val="20"/>
                <w:shd w:val="clear" w:fill="FFFFFF"/>
              </w:rPr>
              <w:t>03</w:t>
            </w:r>
            <w:r>
              <w:rPr>
                <w:rFonts w:hint="eastAsia" w:ascii="宋体" w:hAnsi="宋体" w:eastAsia="宋体" w:cs="宋体"/>
                <w:kern w:val="0"/>
                <w:sz w:val="20"/>
                <w:szCs w:val="20"/>
                <w:shd w:val="clear" w:fill="FFFFFF"/>
              </w:rPr>
              <w:t>表</w:t>
            </w:r>
          </w:p>
        </w:tc>
      </w:tr>
      <w:tr>
        <w:tblPrEx>
          <w:tblLayout w:type="fixed"/>
          <w:tblCellMar>
            <w:top w:w="0" w:type="dxa"/>
            <w:left w:w="0" w:type="dxa"/>
            <w:bottom w:w="0" w:type="dxa"/>
            <w:right w:w="0" w:type="dxa"/>
          </w:tblCellMar>
        </w:tblPrEx>
        <w:trPr>
          <w:trHeight w:val="340" w:hRule="atLeast"/>
        </w:trPr>
        <w:tc>
          <w:tcPr>
            <w:tcW w:w="4795" w:type="dxa"/>
            <w:gridSpan w:val="5"/>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2"/>
                <w:szCs w:val="22"/>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989"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2"/>
                <w:szCs w:val="22"/>
                <w:shd w:val="clear" w:fill="FFFFFF"/>
              </w:rPr>
            </w:pPr>
            <w:r>
              <w:rPr>
                <w:rFonts w:hint="eastAsia" w:ascii="宋体" w:hAnsi="宋体" w:eastAsia="宋体" w:cs="宋体"/>
                <w:kern w:val="0"/>
                <w:sz w:val="22"/>
                <w:szCs w:val="22"/>
                <w:shd w:val="clear" w:fill="FFFFFF"/>
              </w:rPr>
              <w:t> </w:t>
            </w:r>
          </w:p>
        </w:tc>
        <w:tc>
          <w:tcPr>
            <w:tcW w:w="1019"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824"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819" w:type="dxa"/>
            <w:gridSpan w:val="2"/>
            <w:tcBorders>
              <w:top w:val="nil"/>
              <w:left w:val="nil"/>
              <w:bottom w:val="nil"/>
              <w:right w:val="nil"/>
            </w:tcBorders>
            <w:shd w:val="clear" w:color="auto" w:fill="auto"/>
            <w:vAlign w:val="bottom"/>
          </w:tcPr>
          <w:p>
            <w:pPr>
              <w:shd w:val="clear" w:fill="FFFFFF"/>
              <w:spacing w:before="0" w:beforeAutospacing="1" w:after="0" w:afterAutospacing="1"/>
              <w:ind w:left="0" w:right="79" w:firstLine="700" w:firstLineChars="35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8" w:hRule="atLeast"/>
        </w:trPr>
        <w:tc>
          <w:tcPr>
            <w:tcW w:w="37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1064" w:type="dxa"/>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本年支出合计</w:t>
            </w:r>
          </w:p>
        </w:tc>
        <w:tc>
          <w:tcPr>
            <w:tcW w:w="989" w:type="dxa"/>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基本支出</w:t>
            </w:r>
          </w:p>
        </w:tc>
        <w:tc>
          <w:tcPr>
            <w:tcW w:w="10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项目支出</w:t>
            </w:r>
          </w:p>
        </w:tc>
        <w:tc>
          <w:tcPr>
            <w:tcW w:w="82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上缴上级支出</w:t>
            </w:r>
          </w:p>
        </w:tc>
        <w:tc>
          <w:tcPr>
            <w:tcW w:w="70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经营支出</w:t>
            </w:r>
          </w:p>
        </w:tc>
        <w:tc>
          <w:tcPr>
            <w:tcW w:w="111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对附属单位补助支出</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976"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支出功能分类科目编码</w:t>
            </w:r>
          </w:p>
        </w:tc>
        <w:tc>
          <w:tcPr>
            <w:tcW w:w="247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106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0"/>
                <w:sz w:val="20"/>
                <w:szCs w:val="20"/>
              </w:rPr>
            </w:pPr>
          </w:p>
        </w:tc>
        <w:tc>
          <w:tcPr>
            <w:tcW w:w="989"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0"/>
                <w:sz w:val="20"/>
                <w:szCs w:val="20"/>
              </w:rPr>
            </w:pPr>
          </w:p>
        </w:tc>
        <w:tc>
          <w:tcPr>
            <w:tcW w:w="1019"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0"/>
                <w:sz w:val="20"/>
                <w:szCs w:val="20"/>
              </w:rPr>
            </w:pPr>
          </w:p>
        </w:tc>
        <w:tc>
          <w:tcPr>
            <w:tcW w:w="82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0"/>
                <w:sz w:val="20"/>
                <w:szCs w:val="20"/>
              </w:rPr>
            </w:pPr>
          </w:p>
        </w:tc>
        <w:tc>
          <w:tcPr>
            <w:tcW w:w="704"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0"/>
                <w:sz w:val="20"/>
                <w:szCs w:val="20"/>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kern w:val="0"/>
                <w:sz w:val="20"/>
                <w:szCs w:val="20"/>
              </w:rPr>
            </w:pP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8"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类</w:t>
            </w:r>
          </w:p>
        </w:tc>
        <w:tc>
          <w:tcPr>
            <w:tcW w:w="43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款</w:t>
            </w:r>
          </w:p>
        </w:tc>
        <w:tc>
          <w:tcPr>
            <w:tcW w:w="39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w:t>
            </w:r>
          </w:p>
        </w:tc>
        <w:tc>
          <w:tcPr>
            <w:tcW w:w="247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合计</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22,245.55</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3,456.32</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18,789.23</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一般公共服务支出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其他一般公共服务支出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其他一般公共服务支出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科学技术支出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科技条件与服务</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其他科技条件与服务支出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2080501</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行政单位离退休</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1,185.54</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1,185.54</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2080505</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机关事业单位基本养老保险缴费支出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卫生健康支出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行政事业单位医疗</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2101101</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行政单位医疗</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46.19</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46.19</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2101103</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公务员医疗补助</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资源勘探工业信息等支出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5,786.96</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3,678.14</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国有资产监管</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5,176.20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3,067.38</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2150701</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行政运行</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2150702</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一般行政管理事务</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2,067.38</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2,067.38</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其他国有资产监管支出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其他资源勘探工业信息等支出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其他资源勘探工业信息等支出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国有资本经营预算支出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其他国有资本经营预算支出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2239901</w:t>
            </w:r>
          </w:p>
        </w:tc>
        <w:tc>
          <w:tcPr>
            <w:tcW w:w="2471"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其他国有资本经营预算支出</w:t>
            </w:r>
          </w:p>
        </w:tc>
        <w:tc>
          <w:tcPr>
            <w:tcW w:w="106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8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82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注：本表反映部门本年度各项支出情况。</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四、财政拨款收入支出决算总表</w:t>
      </w:r>
    </w:p>
    <w:tbl>
      <w:tblPr>
        <w:tblStyle w:val="15"/>
        <w:tblW w:w="9137" w:type="dxa"/>
        <w:tblInd w:w="43" w:type="dxa"/>
        <w:shd w:val="clear" w:color="auto" w:fill="auto"/>
        <w:tblLayout w:type="fixed"/>
        <w:tblCellMar>
          <w:top w:w="0" w:type="dxa"/>
          <w:left w:w="0" w:type="dxa"/>
          <w:bottom w:w="0" w:type="dxa"/>
          <w:right w:w="0" w:type="dxa"/>
        </w:tblCellMar>
      </w:tblPr>
      <w:tblGrid>
        <w:gridCol w:w="1856"/>
        <w:gridCol w:w="1145"/>
        <w:gridCol w:w="875"/>
        <w:gridCol w:w="83"/>
        <w:gridCol w:w="268"/>
        <w:gridCol w:w="1088"/>
        <w:gridCol w:w="1226"/>
        <w:gridCol w:w="363"/>
        <w:gridCol w:w="175"/>
        <w:gridCol w:w="689"/>
        <w:gridCol w:w="1348"/>
        <w:gridCol w:w="21"/>
      </w:tblGrid>
      <w:tr>
        <w:tblPrEx>
          <w:shd w:val="clear" w:color="auto" w:fill="auto"/>
          <w:tblLayout w:type="fixed"/>
          <w:tblCellMar>
            <w:top w:w="0" w:type="dxa"/>
            <w:left w:w="0" w:type="dxa"/>
            <w:bottom w:w="0" w:type="dxa"/>
            <w:right w:w="0" w:type="dxa"/>
          </w:tblCellMar>
        </w:tblPrEx>
        <w:trPr>
          <w:trHeight w:val="540" w:hRule="atLeast"/>
        </w:trPr>
        <w:tc>
          <w:tcPr>
            <w:tcW w:w="7768" w:type="dxa"/>
            <w:gridSpan w:val="10"/>
            <w:tcBorders>
              <w:top w:val="nil"/>
              <w:left w:val="nil"/>
              <w:bottom w:val="nil"/>
              <w:right w:val="nil"/>
            </w:tcBorders>
            <w:shd w:val="clear" w:color="auto" w:fill="auto"/>
            <w:vAlign w:val="bottom"/>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财政拨款收入支出决算总表</w:t>
            </w:r>
          </w:p>
        </w:tc>
        <w:tc>
          <w:tcPr>
            <w:tcW w:w="1348" w:type="dxa"/>
            <w:tcBorders>
              <w:top w:val="nil"/>
              <w:left w:val="nil"/>
              <w:bottom w:val="nil"/>
              <w:right w:val="nil"/>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36"/>
                <w:szCs w:val="36"/>
                <w:shd w:val="clear" w:fill="FFFFFF"/>
              </w:rPr>
              <w:t>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55" w:hRule="atLeast"/>
        </w:trPr>
        <w:tc>
          <w:tcPr>
            <w:tcW w:w="3876" w:type="dxa"/>
            <w:gridSpan w:val="3"/>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83"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945" w:type="dxa"/>
            <w:gridSpan w:val="4"/>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75"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037" w:type="dxa"/>
            <w:gridSpan w:val="2"/>
            <w:tcBorders>
              <w:top w:val="nil"/>
              <w:left w:val="nil"/>
              <w:bottom w:val="nil"/>
              <w:right w:val="nil"/>
            </w:tcBorders>
            <w:shd w:val="clear" w:color="auto" w:fill="auto"/>
            <w:vAlign w:val="bottom"/>
          </w:tcPr>
          <w:p>
            <w:pPr>
              <w:shd w:val="clear" w:fill="FFFFFF"/>
              <w:spacing w:before="0" w:beforeAutospacing="1" w:after="0" w:afterAutospacing="1"/>
              <w:ind w:right="1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w:t>
            </w:r>
            <w:r>
              <w:rPr>
                <w:rFonts w:hint="default" w:ascii="Arial" w:hAnsi="Arial" w:eastAsia="宋体" w:cs="Arial"/>
                <w:kern w:val="0"/>
                <w:sz w:val="20"/>
                <w:szCs w:val="20"/>
                <w:shd w:val="clear" w:fill="FFFFFF"/>
              </w:rPr>
              <w:t>04</w:t>
            </w:r>
            <w:r>
              <w:rPr>
                <w:rFonts w:hint="eastAsia" w:ascii="宋体" w:hAnsi="宋体" w:eastAsia="宋体" w:cs="宋体"/>
                <w:kern w:val="0"/>
                <w:sz w:val="20"/>
                <w:szCs w:val="20"/>
                <w:shd w:val="clear" w:fill="FFFFFF"/>
              </w:rPr>
              <w:t>表</w:t>
            </w:r>
          </w:p>
        </w:tc>
        <w:tc>
          <w:tcPr>
            <w:tcW w:w="21"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5" w:hRule="atLeast"/>
        </w:trPr>
        <w:tc>
          <w:tcPr>
            <w:tcW w:w="6904" w:type="dxa"/>
            <w:gridSpan w:val="8"/>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175"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037"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8"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收     入</w:t>
            </w:r>
          </w:p>
        </w:tc>
        <w:tc>
          <w:tcPr>
            <w:tcW w:w="6115" w:type="dxa"/>
            <w:gridSpan w:val="9"/>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     出</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1238"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项   目</w:t>
            </w:r>
          </w:p>
        </w:tc>
        <w:tc>
          <w:tcPr>
            <w:tcW w:w="114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项目（按功能分类）</w:t>
            </w:r>
          </w:p>
        </w:tc>
        <w:tc>
          <w:tcPr>
            <w:tcW w:w="108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合计</w:t>
            </w:r>
          </w:p>
        </w:tc>
        <w:tc>
          <w:tcPr>
            <w:tcW w:w="122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一般公共预算财政拨款</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政府性基金预算财政拨款</w:t>
            </w:r>
          </w:p>
        </w:tc>
        <w:tc>
          <w:tcPr>
            <w:tcW w:w="1348"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240" w:beforeAutospacing="0"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国有资本经营预算财政拨款</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一、一般公共预算财政拨款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7,884.17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一、一般公共服务支出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二、政府性基金预算财政拨款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二、外交支出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三、国有资本经营预算财政拨款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三、国防支出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四、公共安全支出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五、教育支出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六、科学技术支出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七、文化旅游体育与传媒支出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八、社会保障和就业支出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1,285.15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1,285.15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九、卫生健康支出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62.36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62.36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十、节能环保支出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十一、城乡社区支出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十二、农林水支出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十三、交通运输支出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十四、资源勘探信息等支出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5,786.95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5,786.95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十五、商业服务业等支出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十六、金融支出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十七、援助其他地区支出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十八、自然资源海洋气象等支出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十九、住房保障支出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二十、粮油物资储备支出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二十一、国有资本经营预算支出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二十二、灾害防治及应急管理支出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二十三、其他支出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二十四、债务还本支出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二十五、债务付息支出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二十六、抗疫特别国债安排的支出</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本年收入合计</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22,884.17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本年支出合计</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22,245.55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7,245.55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年初财政拨款结转和结余</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549.40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年末财政拨款结转和结余</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1,188.02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1,188.02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ind w:left="0" w:firstLine="220"/>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一般公共预算财政拨款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549.40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7" w:type="dxa"/>
            <w:gridSpan w:val="3"/>
            <w:tcBorders>
              <w:top w:val="single" w:color="auto" w:sz="4" w:space="0"/>
              <w:left w:val="nil"/>
              <w:bottom w:val="single" w:color="auto" w:sz="4" w:space="0"/>
              <w:right w:val="single" w:color="auto" w:sz="4" w:space="0"/>
            </w:tcBorders>
            <w:shd w:val="clear" w:color="auto" w:fill="auto"/>
            <w:vAlign w:val="bottom"/>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48" w:type="dxa"/>
            <w:tcBorders>
              <w:top w:val="single" w:color="auto" w:sz="4" w:space="0"/>
              <w:left w:val="nil"/>
              <w:bottom w:val="single" w:color="auto" w:sz="4" w:space="0"/>
              <w:right w:val="single" w:color="auto" w:sz="4" w:space="0"/>
            </w:tcBorders>
            <w:shd w:val="clear" w:color="auto" w:fill="auto"/>
            <w:vAlign w:val="top"/>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ind w:left="0" w:firstLine="220"/>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政府性基金预算财政拨款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7" w:type="dxa"/>
            <w:gridSpan w:val="3"/>
            <w:tcBorders>
              <w:top w:val="single" w:color="auto" w:sz="4" w:space="0"/>
              <w:left w:val="nil"/>
              <w:bottom w:val="single" w:color="auto" w:sz="4" w:space="0"/>
              <w:right w:val="single" w:color="auto" w:sz="4" w:space="0"/>
            </w:tcBorders>
            <w:shd w:val="clear" w:color="auto" w:fill="auto"/>
            <w:vAlign w:val="bottom"/>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48" w:type="dxa"/>
            <w:tcBorders>
              <w:top w:val="single" w:color="auto" w:sz="4" w:space="0"/>
              <w:left w:val="nil"/>
              <w:bottom w:val="single" w:color="auto" w:sz="4" w:space="0"/>
              <w:right w:val="single" w:color="auto" w:sz="4" w:space="0"/>
            </w:tcBorders>
            <w:shd w:val="clear" w:color="auto" w:fill="auto"/>
            <w:vAlign w:val="top"/>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 国有资本经营预算财政拨款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7" w:type="dxa"/>
            <w:gridSpan w:val="3"/>
            <w:tcBorders>
              <w:top w:val="single" w:color="auto" w:sz="4" w:space="0"/>
              <w:left w:val="nil"/>
              <w:bottom w:val="single" w:color="auto" w:sz="4" w:space="0"/>
              <w:right w:val="single" w:color="auto" w:sz="4" w:space="0"/>
            </w:tcBorders>
            <w:shd w:val="clear" w:color="auto" w:fill="auto"/>
            <w:vAlign w:val="bottom"/>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48" w:type="dxa"/>
            <w:tcBorders>
              <w:top w:val="single" w:color="auto" w:sz="4" w:space="0"/>
              <w:left w:val="nil"/>
              <w:bottom w:val="single" w:color="auto" w:sz="4" w:space="0"/>
              <w:right w:val="single" w:color="auto" w:sz="4" w:space="0"/>
            </w:tcBorders>
            <w:shd w:val="clear" w:color="auto" w:fill="auto"/>
            <w:vAlign w:val="top"/>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1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08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c>
          <w:tcPr>
            <w:tcW w:w="1226"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8,433.57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注：本表反映部门本年度一般公共预算财政拨款、政府性基金预算财政拨款和国有资本经营预算财政拨款的总收支和年末结转结余情况。</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五、一般公共预算财政拨款支出决算表</w:t>
      </w:r>
    </w:p>
    <w:tbl>
      <w:tblPr>
        <w:tblStyle w:val="15"/>
        <w:tblW w:w="8391" w:type="dxa"/>
        <w:jc w:val="center"/>
        <w:tblInd w:w="0" w:type="dxa"/>
        <w:shd w:val="clear" w:color="auto" w:fill="auto"/>
        <w:tblLayout w:type="fixed"/>
        <w:tblCellMar>
          <w:top w:w="0" w:type="dxa"/>
          <w:left w:w="0" w:type="dxa"/>
          <w:bottom w:w="0" w:type="dxa"/>
          <w:right w:w="0" w:type="dxa"/>
        </w:tblCellMar>
      </w:tblPr>
      <w:tblGrid>
        <w:gridCol w:w="1542"/>
        <w:gridCol w:w="2959"/>
        <w:gridCol w:w="1245"/>
        <w:gridCol w:w="1290"/>
        <w:gridCol w:w="1115"/>
        <w:gridCol w:w="240"/>
      </w:tblGrid>
      <w:tr>
        <w:tblPrEx>
          <w:shd w:val="clear" w:color="auto" w:fill="auto"/>
          <w:tblLayout w:type="fixed"/>
          <w:tblCellMar>
            <w:top w:w="0" w:type="dxa"/>
            <w:left w:w="0" w:type="dxa"/>
            <w:bottom w:w="0" w:type="dxa"/>
            <w:right w:w="0" w:type="dxa"/>
          </w:tblCellMar>
        </w:tblPrEx>
        <w:trPr>
          <w:trHeight w:val="540" w:hRule="atLeast"/>
          <w:jc w:val="center"/>
        </w:trPr>
        <w:tc>
          <w:tcPr>
            <w:tcW w:w="8151" w:type="dxa"/>
            <w:gridSpan w:val="5"/>
            <w:tcBorders>
              <w:top w:val="nil"/>
              <w:left w:val="nil"/>
              <w:bottom w:val="nil"/>
              <w:right w:val="nil"/>
            </w:tcBorders>
            <w:shd w:val="clear" w:color="auto" w:fill="auto"/>
            <w:vAlign w:val="bottom"/>
          </w:tcPr>
          <w:p>
            <w:pPr>
              <w:shd w:val="clear" w:fill="FFFFFF"/>
              <w:spacing w:before="0" w:beforeAutospacing="1" w:after="240" w:afterAutospacing="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一般公共财政拨款支出决算表</w:t>
            </w:r>
          </w:p>
          <w:p>
            <w:pPr>
              <w:shd w:val="clear" w:fill="FFFFFF"/>
              <w:spacing w:before="240" w:beforeAutospacing="0"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公开05表</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510" w:hRule="atLeast"/>
          <w:jc w:val="center"/>
        </w:trPr>
        <w:tc>
          <w:tcPr>
            <w:tcW w:w="5746" w:type="dxa"/>
            <w:gridSpan w:val="3"/>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2645" w:type="dxa"/>
            <w:gridSpan w:val="3"/>
            <w:tcBorders>
              <w:top w:val="nil"/>
              <w:left w:val="nil"/>
              <w:bottom w:val="nil"/>
              <w:right w:val="nil"/>
            </w:tcBorders>
            <w:shd w:val="clear" w:color="auto" w:fill="auto"/>
            <w:vAlign w:val="center"/>
          </w:tcPr>
          <w:p>
            <w:pPr>
              <w:shd w:val="clear" w:fill="FFFFFF"/>
              <w:spacing w:before="0" w:beforeAutospacing="1" w:after="0" w:afterAutospacing="1"/>
              <w:ind w:right="1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r>
      <w:tr>
        <w:tblPrEx>
          <w:tblLayout w:type="fixed"/>
          <w:tblCellMar>
            <w:top w:w="0" w:type="dxa"/>
            <w:left w:w="0" w:type="dxa"/>
            <w:bottom w:w="0" w:type="dxa"/>
            <w:right w:w="0" w:type="dxa"/>
          </w:tblCellMar>
        </w:tblPrEx>
        <w:trPr>
          <w:trHeight w:val="510"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项   目</w:t>
            </w:r>
          </w:p>
        </w:tc>
        <w:tc>
          <w:tcPr>
            <w:tcW w:w="3650"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本年支出</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540"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功能分类科目编码</w:t>
            </w:r>
          </w:p>
        </w:tc>
        <w:tc>
          <w:tcPr>
            <w:tcW w:w="295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124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小计</w:t>
            </w:r>
          </w:p>
        </w:tc>
        <w:tc>
          <w:tcPr>
            <w:tcW w:w="129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基本支出</w:t>
            </w:r>
          </w:p>
        </w:tc>
        <w:tc>
          <w:tcPr>
            <w:tcW w:w="111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项目支出</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35"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合计</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7,245.55</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3,456.32</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3,789.23</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201</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一般公共服务支出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20199</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其他一般公共服务支出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2019999</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其他一般公共服务支出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科学技术支出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20605</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科技条件与服务</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2060599</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其他科技条件与服务支出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社会保障和就业支出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20805</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行政事业单位养老支出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2080501</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行政单位离退休</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1,185.54</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1,185.54</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2080505</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机关事业单位基本养老保险缴费支出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99.60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99.60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卫生健康支出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21011</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行政事业单位医疗</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2101101</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行政单位医疗</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46.19</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46.19</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2101103</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公务员医疗补助</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16.17</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16.17</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资源勘探工业信息等支出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5,786.96</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3,678.14</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国有资产监管</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5,176.20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3,067.38</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2150701</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行政运行</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2150702</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一般行政管理事务</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2,067.38</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2,067.38</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2150799</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其他国有资产监管支出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1,000.00</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1,000.00</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21599</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其他资源勘探工业信息等支出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r>
        <w:tblPrEx>
          <w:tblLayout w:type="fixed"/>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2159999</w:t>
            </w:r>
          </w:p>
        </w:tc>
        <w:tc>
          <w:tcPr>
            <w:tcW w:w="2959"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其他资源勘探工业信息等支出</w:t>
            </w:r>
          </w:p>
        </w:tc>
        <w:tc>
          <w:tcPr>
            <w:tcW w:w="124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240"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注：本表反映部门本年度一般公共预算财政拨款支出情况。</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shd w:val="clear" w:fill="FFFFFF"/>
        <w:spacing w:before="240" w:beforeAutospacing="0" w:after="240" w:afterAutospacing="0"/>
        <w:ind w:left="720" w:right="0" w:hanging="72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 xml:space="preserve">六、一般公共预算财政拨款基本支出决算表 </w:t>
      </w:r>
    </w:p>
    <w:tbl>
      <w:tblPr>
        <w:tblStyle w:val="15"/>
        <w:tblW w:w="9389" w:type="dxa"/>
        <w:tblInd w:w="178" w:type="dxa"/>
        <w:shd w:val="clear" w:color="auto" w:fill="auto"/>
        <w:tblLayout w:type="fixed"/>
        <w:tblCellMar>
          <w:top w:w="0" w:type="dxa"/>
          <w:left w:w="0" w:type="dxa"/>
          <w:bottom w:w="0" w:type="dxa"/>
          <w:right w:w="0" w:type="dxa"/>
        </w:tblCellMar>
      </w:tblPr>
      <w:tblGrid>
        <w:gridCol w:w="975"/>
        <w:gridCol w:w="1155"/>
        <w:gridCol w:w="1065"/>
        <w:gridCol w:w="612"/>
        <w:gridCol w:w="303"/>
        <w:gridCol w:w="615"/>
        <w:gridCol w:w="496"/>
        <w:gridCol w:w="1079"/>
        <w:gridCol w:w="339"/>
        <w:gridCol w:w="441"/>
        <w:gridCol w:w="180"/>
        <w:gridCol w:w="306"/>
        <w:gridCol w:w="632"/>
        <w:gridCol w:w="1127"/>
        <w:gridCol w:w="64"/>
      </w:tblGrid>
      <w:tr>
        <w:tblPrEx>
          <w:shd w:val="clear" w:color="auto" w:fill="auto"/>
          <w:tblLayout w:type="fixed"/>
          <w:tblCellMar>
            <w:top w:w="0" w:type="dxa"/>
            <w:left w:w="0" w:type="dxa"/>
            <w:bottom w:w="0" w:type="dxa"/>
            <w:right w:w="0" w:type="dxa"/>
          </w:tblCellMar>
        </w:tblPrEx>
        <w:trPr>
          <w:trHeight w:val="440" w:hRule="atLeast"/>
        </w:trPr>
        <w:tc>
          <w:tcPr>
            <w:tcW w:w="9325" w:type="dxa"/>
            <w:gridSpan w:val="14"/>
            <w:tcBorders>
              <w:top w:val="nil"/>
              <w:left w:val="nil"/>
              <w:bottom w:val="nil"/>
              <w:right w:val="nil"/>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一般公共预算财政拨款基本支出决算表</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16" w:hRule="atLeast"/>
        </w:trPr>
        <w:tc>
          <w:tcPr>
            <w:tcW w:w="3807" w:type="dxa"/>
            <w:gridSpan w:val="4"/>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303"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615"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1914" w:type="dxa"/>
            <w:gridSpan w:val="3"/>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621" w:type="dxa"/>
            <w:gridSpan w:val="2"/>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306"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1759" w:type="dxa"/>
            <w:gridSpan w:val="2"/>
            <w:tcBorders>
              <w:top w:val="nil"/>
              <w:left w:val="nil"/>
              <w:bottom w:val="nil"/>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公开06表</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16" w:hRule="atLeast"/>
        </w:trPr>
        <w:tc>
          <w:tcPr>
            <w:tcW w:w="6639" w:type="dxa"/>
            <w:gridSpan w:val="9"/>
            <w:tcBorders>
              <w:top w:val="nil"/>
              <w:left w:val="nil"/>
              <w:bottom w:val="single" w:color="auto" w:sz="4" w:space="0"/>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2"/>
                <w:szCs w:val="22"/>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621"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306"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759"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单位：万元</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45" w:hRule="atLeast"/>
        </w:trPr>
        <w:tc>
          <w:tcPr>
            <w:tcW w:w="31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人员经费</w:t>
            </w:r>
          </w:p>
        </w:tc>
        <w:tc>
          <w:tcPr>
            <w:tcW w:w="6130" w:type="dxa"/>
            <w:gridSpan w:val="11"/>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公用经费</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2" w:hRule="atLeast"/>
        </w:trPr>
        <w:tc>
          <w:tcPr>
            <w:tcW w:w="975" w:type="dxa"/>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经济分类科目</w:t>
            </w:r>
            <w:r>
              <w:rPr>
                <w:rFonts w:hint="eastAsia" w:ascii="宋体" w:hAnsi="宋体" w:eastAsia="宋体" w:cs="宋体"/>
                <w:kern w:val="0"/>
                <w:sz w:val="18"/>
                <w:szCs w:val="18"/>
                <w:shd w:val="clear" w:fill="FFFFFF"/>
              </w:rPr>
              <w:br w:type="textWrapping"/>
            </w:r>
            <w:r>
              <w:rPr>
                <w:rFonts w:hint="eastAsia" w:ascii="宋体" w:hAnsi="宋体" w:eastAsia="宋体" w:cs="宋体"/>
                <w:kern w:val="0"/>
                <w:sz w:val="18"/>
                <w:szCs w:val="18"/>
                <w:shd w:val="clear" w:fill="FFFFFF"/>
              </w:rPr>
              <w:t>编码</w:t>
            </w:r>
          </w:p>
        </w:tc>
        <w:tc>
          <w:tcPr>
            <w:tcW w:w="1155"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科目名称</w:t>
            </w:r>
          </w:p>
        </w:tc>
        <w:tc>
          <w:tcPr>
            <w:tcW w:w="1065"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915"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经济分类科目</w:t>
            </w:r>
            <w:r>
              <w:rPr>
                <w:rFonts w:hint="eastAsia" w:ascii="宋体" w:hAnsi="宋体" w:eastAsia="宋体" w:cs="宋体"/>
                <w:kern w:val="0"/>
                <w:sz w:val="18"/>
                <w:szCs w:val="18"/>
                <w:shd w:val="clear" w:fill="FFFFFF"/>
              </w:rPr>
              <w:br w:type="textWrapping"/>
            </w:r>
            <w:r>
              <w:rPr>
                <w:rFonts w:hint="eastAsia" w:ascii="宋体" w:hAnsi="宋体" w:eastAsia="宋体" w:cs="宋体"/>
                <w:kern w:val="0"/>
                <w:sz w:val="18"/>
                <w:szCs w:val="18"/>
                <w:shd w:val="clear" w:fill="FFFFFF"/>
              </w:rPr>
              <w:t>编码</w:t>
            </w:r>
          </w:p>
        </w:tc>
        <w:tc>
          <w:tcPr>
            <w:tcW w:w="1111"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科目名称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780"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经济分类科目</w:t>
            </w:r>
            <w:r>
              <w:rPr>
                <w:rFonts w:hint="eastAsia" w:ascii="宋体" w:hAnsi="宋体" w:eastAsia="宋体" w:cs="宋体"/>
                <w:kern w:val="0"/>
                <w:sz w:val="18"/>
                <w:szCs w:val="18"/>
                <w:shd w:val="clear" w:fill="FFFFFF"/>
              </w:rPr>
              <w:br w:type="textWrapping"/>
            </w:r>
            <w:r>
              <w:rPr>
                <w:rFonts w:hint="eastAsia" w:ascii="宋体" w:hAnsi="宋体" w:eastAsia="宋体" w:cs="宋体"/>
                <w:kern w:val="0"/>
                <w:sz w:val="18"/>
                <w:szCs w:val="18"/>
                <w:shd w:val="clear" w:fill="FFFFFF"/>
              </w:rPr>
              <w:t>编码</w:t>
            </w:r>
          </w:p>
        </w:tc>
        <w:tc>
          <w:tcPr>
            <w:tcW w:w="1118" w:type="dxa"/>
            <w:gridSpan w:val="3"/>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科目名称</w:t>
            </w:r>
          </w:p>
        </w:tc>
        <w:tc>
          <w:tcPr>
            <w:tcW w:w="1127"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2" w:hRule="atLeast"/>
        </w:trPr>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55"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15"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11"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80"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18"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2" w:hRule="atLeast"/>
        </w:trPr>
        <w:tc>
          <w:tcPr>
            <w:tcW w:w="97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55"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15"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11"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80"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18"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2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工资福利支出</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2,078.06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商品和服务支出</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190.14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307</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债务利息及费用支出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30101</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基本工资</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252.56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30201</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办公费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39.81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30701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国内债务付息</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30102</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津贴补贴</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677.79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30202</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印刷费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12.73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30702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国外债务付息</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30103</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奖金</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836.46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30203</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咨询费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资本性支出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2.58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30106</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伙食补助费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30204</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手续费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房屋建筑物购建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30107</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绩效工资</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30205</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水费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0.43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办公设备购置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2.58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30108</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机关事业单位基本养老保险缴费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99.60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30206</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电费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13.91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31003</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专用设备购置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30109</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职业年金缴费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30207</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邮电费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6.08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31005</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基础设施建设</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08"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30110</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职工基本医疗保险缴费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46.19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30208</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取暖费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31006</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大型修缮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08"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30111</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公务员医疗补助缴费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16.17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物业管理费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31007</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信息网络及软件购置更新</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30112</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其他社会保障缴费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3.03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30211</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差旅费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31008</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物资储备</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30113</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住房公积金</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137.67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30212</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因公出国（境）费用</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土地补偿</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30114</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医疗费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30213</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维修（护）费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31010</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安置补助</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30199</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其他工资福利支出</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8.59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30214</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租赁费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地上附着物和青苗补偿</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对个人和家庭的补助</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1,185.54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30215</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会议费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拆迁补偿</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30301</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离休费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30216</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培训费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31013</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公务用车购置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30302</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退休费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30217</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公务接待费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其他交通工具购置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30303</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退职（役）费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30218</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专用材料费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31021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文物和陈列品购置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30304</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抚恤金</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30224</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被装购置费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31022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无形资产购置</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30305</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生活补助</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30225</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专用燃料费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其他资本性支出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30306</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救济费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30226</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劳务费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55.46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对企业补助</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30307</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医疗费补助</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30227</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委托业务费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17.21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资本金注入</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30308</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助学金</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30228</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工会经费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31203</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政府投资基金股权投资</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30309</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奖励金</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福利费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19.93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31204</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费用补贴</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30310</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个人农业生产补贴</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30231</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公务用车运行维护费</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31205</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利息补贴</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30311</w:t>
            </w:r>
          </w:p>
        </w:tc>
        <w:tc>
          <w:tcPr>
            <w:tcW w:w="1155"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代缴社会保险费</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30239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其他交通费用</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1.27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其他对企业补助</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58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30399</w:t>
            </w:r>
          </w:p>
        </w:tc>
        <w:tc>
          <w:tcPr>
            <w:tcW w:w="115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其他对个人和家庭的补助</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1,185.54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30240</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税金及附加费用</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其他支出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343"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30299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其他商品和服务支出</w:t>
            </w:r>
          </w:p>
        </w:tc>
        <w:tc>
          <w:tcPr>
            <w:tcW w:w="1079"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4.68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39906</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赠与</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24"/>
                <w:szCs w:val="24"/>
                <w:shd w:val="clear" w:fill="FFFFFF"/>
              </w:rPr>
            </w:pPr>
          </w:p>
        </w:tc>
        <w:tc>
          <w:tcPr>
            <w:tcW w:w="1079" w:type="dxa"/>
            <w:tcBorders>
              <w:top w:val="single" w:color="auto" w:sz="4" w:space="0"/>
              <w:left w:val="nil"/>
              <w:bottom w:val="single" w:color="auto" w:sz="4" w:space="0"/>
              <w:right w:val="single" w:color="auto" w:sz="4" w:space="0"/>
            </w:tcBorders>
            <w:shd w:val="clear" w:color="auto" w:fill="auto"/>
            <w:vAlign w:val="bottom"/>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39907</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国家赔偿费用支出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79" w:type="dxa"/>
            <w:tcBorders>
              <w:top w:val="single" w:color="auto" w:sz="4" w:space="0"/>
              <w:left w:val="nil"/>
              <w:bottom w:val="single" w:color="auto" w:sz="4" w:space="0"/>
              <w:right w:val="single" w:color="auto" w:sz="4" w:space="0"/>
            </w:tcBorders>
            <w:shd w:val="clear" w:color="auto" w:fill="auto"/>
            <w:vAlign w:val="bottom"/>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39908</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对民间非营利组织和群众性自治组织补贴</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p>
        </w:tc>
        <w:tc>
          <w:tcPr>
            <w:tcW w:w="1111"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tc>
        <w:tc>
          <w:tcPr>
            <w:tcW w:w="1079" w:type="dxa"/>
            <w:tcBorders>
              <w:top w:val="single" w:color="auto" w:sz="4" w:space="0"/>
              <w:left w:val="nil"/>
              <w:bottom w:val="single" w:color="auto" w:sz="4" w:space="0"/>
              <w:right w:val="single" w:color="auto" w:sz="4" w:space="0"/>
            </w:tcBorders>
            <w:shd w:val="clear" w:color="auto" w:fill="auto"/>
            <w:vAlign w:val="bottom"/>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其他支出</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tblPrEx>
          <w:tblLayout w:type="fixed"/>
          <w:tblCellMar>
            <w:top w:w="0" w:type="dxa"/>
            <w:left w:w="0" w:type="dxa"/>
            <w:bottom w:w="0" w:type="dxa"/>
            <w:right w:w="0" w:type="dxa"/>
          </w:tblCellMar>
        </w:tblPrEx>
        <w:trPr>
          <w:trHeight w:val="220" w:hRule="atLeast"/>
        </w:trPr>
        <w:tc>
          <w:tcPr>
            <w:tcW w:w="21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人员经费合计</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3,263.61 </w:t>
            </w:r>
          </w:p>
        </w:tc>
        <w:tc>
          <w:tcPr>
            <w:tcW w:w="5003" w:type="dxa"/>
            <w:gridSpan w:val="10"/>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公用经费合计</w:t>
            </w:r>
          </w:p>
        </w:tc>
        <w:tc>
          <w:tcPr>
            <w:tcW w:w="112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192.71 </w:t>
            </w:r>
          </w:p>
        </w:tc>
        <w:tc>
          <w:tcPr>
            <w:tcW w:w="64"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注：本表反映部门本年度一般公共预算财政拨款基本支出明细情况。</w:t>
      </w:r>
    </w:p>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 xml:space="preserve">七、一般公共预算财政拨款“三公”经费支出决算表 </w:t>
      </w:r>
    </w:p>
    <w:p>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一般公共预算财政拨款“三公”经费支出决算表</w:t>
      </w:r>
    </w:p>
    <w:tbl>
      <w:tblPr>
        <w:tblStyle w:val="15"/>
        <w:tblW w:w="8827" w:type="dxa"/>
        <w:jc w:val="center"/>
        <w:tblInd w:w="0" w:type="dxa"/>
        <w:shd w:val="clear" w:color="auto" w:fill="auto"/>
        <w:tblLayout w:type="fixed"/>
        <w:tblCellMar>
          <w:top w:w="0" w:type="dxa"/>
          <w:left w:w="0" w:type="dxa"/>
          <w:bottom w:w="0" w:type="dxa"/>
          <w:right w:w="0" w:type="dxa"/>
        </w:tblCellMar>
      </w:tblPr>
      <w:tblGrid>
        <w:gridCol w:w="5231"/>
        <w:gridCol w:w="1065"/>
        <w:gridCol w:w="2531"/>
      </w:tblGrid>
      <w:tr>
        <w:tblPrEx>
          <w:shd w:val="clear" w:color="auto" w:fill="auto"/>
          <w:tblLayout w:type="fixed"/>
          <w:tblCellMar>
            <w:top w:w="0" w:type="dxa"/>
            <w:left w:w="0" w:type="dxa"/>
            <w:bottom w:w="0" w:type="dxa"/>
            <w:right w:w="0" w:type="dxa"/>
          </w:tblCellMar>
        </w:tblPrEx>
        <w:trPr>
          <w:trHeight w:val="405" w:hRule="atLeast"/>
          <w:jc w:val="center"/>
        </w:trPr>
        <w:tc>
          <w:tcPr>
            <w:tcW w:w="5231"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5"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531" w:type="dxa"/>
            <w:tcBorders>
              <w:top w:val="nil"/>
              <w:left w:val="nil"/>
              <w:bottom w:val="nil"/>
              <w:right w:val="nil"/>
            </w:tcBorders>
            <w:shd w:val="clear" w:color="auto" w:fill="FFFFFF"/>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公开07表</w:t>
            </w:r>
          </w:p>
        </w:tc>
      </w:tr>
      <w:tr>
        <w:tblPrEx>
          <w:tblLayout w:type="fixed"/>
          <w:tblCellMar>
            <w:top w:w="0" w:type="dxa"/>
            <w:left w:w="0" w:type="dxa"/>
            <w:bottom w:w="0" w:type="dxa"/>
            <w:right w:w="0" w:type="dxa"/>
          </w:tblCellMar>
        </w:tblPrEx>
        <w:trPr>
          <w:trHeight w:val="375" w:hRule="atLeast"/>
          <w:jc w:val="center"/>
        </w:trPr>
        <w:tc>
          <w:tcPr>
            <w:tcW w:w="5231" w:type="dxa"/>
            <w:tcBorders>
              <w:top w:val="nil"/>
              <w:left w:val="nil"/>
              <w:bottom w:val="single" w:color="auto" w:sz="4" w:space="0"/>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1065" w:type="dxa"/>
            <w:tcBorders>
              <w:top w:val="nil"/>
              <w:left w:val="nil"/>
              <w:bottom w:val="single" w:color="auto" w:sz="4" w:space="0"/>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531" w:type="dxa"/>
            <w:tcBorders>
              <w:top w:val="nil"/>
              <w:left w:val="nil"/>
              <w:bottom w:val="single" w:color="auto" w:sz="4" w:space="0"/>
              <w:right w:val="nil"/>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单位：万元</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项目</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行次</w:t>
            </w:r>
          </w:p>
        </w:tc>
        <w:tc>
          <w:tcPr>
            <w:tcW w:w="253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决算数</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合计</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1</w:t>
            </w:r>
          </w:p>
        </w:tc>
        <w:tc>
          <w:tcPr>
            <w:tcW w:w="253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1.63 </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1. 因公出国（境）费</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w:t>
            </w:r>
          </w:p>
        </w:tc>
        <w:tc>
          <w:tcPr>
            <w:tcW w:w="253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 公务用车购置及运行维护费</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w:t>
            </w:r>
          </w:p>
        </w:tc>
        <w:tc>
          <w:tcPr>
            <w:tcW w:w="253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其中：（1）公务用车购置费</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4</w:t>
            </w:r>
          </w:p>
        </w:tc>
        <w:tc>
          <w:tcPr>
            <w:tcW w:w="253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（2）公务用车运行维护费</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5</w:t>
            </w:r>
          </w:p>
        </w:tc>
        <w:tc>
          <w:tcPr>
            <w:tcW w:w="253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tblPrEx>
          <w:tblLayout w:type="fixed"/>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 公务接待费</w:t>
            </w:r>
          </w:p>
        </w:tc>
        <w:tc>
          <w:tcPr>
            <w:tcW w:w="106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6</w:t>
            </w:r>
          </w:p>
        </w:tc>
        <w:tc>
          <w:tcPr>
            <w:tcW w:w="2531"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1.63 </w:t>
            </w:r>
          </w:p>
        </w:tc>
      </w:tr>
      <w:tr>
        <w:tblPrEx>
          <w:tblLayout w:type="fixed"/>
          <w:tblCellMar>
            <w:top w:w="0" w:type="dxa"/>
            <w:left w:w="0" w:type="dxa"/>
            <w:bottom w:w="0" w:type="dxa"/>
            <w:right w:w="0" w:type="dxa"/>
          </w:tblCellMar>
        </w:tblPrEx>
        <w:trPr>
          <w:trHeight w:val="495" w:hRule="atLeast"/>
          <w:jc w:val="center"/>
        </w:trPr>
        <w:tc>
          <w:tcPr>
            <w:tcW w:w="8827" w:type="dxa"/>
            <w:gridSpan w:val="3"/>
            <w:tcBorders>
              <w:top w:val="single" w:color="auto" w:sz="4" w:space="0"/>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注：本表反映部门本年度“三公”经费支出决算情况，包括当年一般公共预算财政拨款和以前年度结转资金安排的实际支出。</w:t>
            </w:r>
          </w:p>
        </w:tc>
      </w:tr>
    </w:tbl>
    <w:p>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shd w:val="clear" w:fill="FFFFFF"/>
        <w:spacing w:before="240" w:beforeAutospacing="0" w:after="240" w:afterAutospacing="0"/>
        <w:ind w:left="0" w:right="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 xml:space="preserve">八、政府性基金预算财政拨款收入支出决算表 </w:t>
      </w:r>
    </w:p>
    <w:tbl>
      <w:tblPr>
        <w:tblStyle w:val="15"/>
        <w:tblW w:w="9453" w:type="dxa"/>
        <w:tblInd w:w="135" w:type="dxa"/>
        <w:shd w:val="clear" w:color="auto" w:fill="auto"/>
        <w:tblLayout w:type="fixed"/>
        <w:tblCellMar>
          <w:top w:w="0" w:type="dxa"/>
          <w:left w:w="0" w:type="dxa"/>
          <w:bottom w:w="0" w:type="dxa"/>
          <w:right w:w="0" w:type="dxa"/>
        </w:tblCellMar>
      </w:tblPr>
      <w:tblGrid>
        <w:gridCol w:w="837"/>
        <w:gridCol w:w="545"/>
        <w:gridCol w:w="545"/>
        <w:gridCol w:w="1154"/>
        <w:gridCol w:w="952"/>
        <w:gridCol w:w="966"/>
        <w:gridCol w:w="966"/>
        <w:gridCol w:w="1067"/>
        <w:gridCol w:w="1060"/>
        <w:gridCol w:w="1115"/>
        <w:gridCol w:w="246"/>
      </w:tblGrid>
      <w:tr>
        <w:tblPrEx>
          <w:shd w:val="clear" w:color="auto" w:fill="auto"/>
          <w:tblLayout w:type="fixed"/>
          <w:tblCellMar>
            <w:top w:w="0" w:type="dxa"/>
            <w:left w:w="0" w:type="dxa"/>
            <w:bottom w:w="0" w:type="dxa"/>
            <w:right w:w="0" w:type="dxa"/>
          </w:tblCellMar>
        </w:tblPrEx>
        <w:trPr>
          <w:trHeight w:val="735" w:hRule="atLeast"/>
        </w:trPr>
        <w:tc>
          <w:tcPr>
            <w:tcW w:w="9207" w:type="dxa"/>
            <w:gridSpan w:val="10"/>
            <w:tcBorders>
              <w:top w:val="nil"/>
              <w:left w:val="nil"/>
              <w:bottom w:val="nil"/>
              <w:right w:val="nil"/>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政府性基金预算财政拨款收入支出决算表</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0" w:hRule="atLeast"/>
        </w:trPr>
        <w:tc>
          <w:tcPr>
            <w:tcW w:w="837"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545"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545"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154"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52"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66"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66"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7"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0" w:type="dxa"/>
            <w:tcBorders>
              <w:top w:val="nil"/>
              <w:left w:val="nil"/>
              <w:bottom w:val="nil"/>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115" w:type="dxa"/>
            <w:tcBorders>
              <w:top w:val="nil"/>
              <w:left w:val="nil"/>
              <w:bottom w:val="nil"/>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公开08表</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5" w:hRule="atLeast"/>
        </w:trPr>
        <w:tc>
          <w:tcPr>
            <w:tcW w:w="4999" w:type="dxa"/>
            <w:gridSpan w:val="6"/>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966"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7"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175"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rFonts w:hint="eastAsia" w:ascii="宋体" w:hAnsi="宋体" w:eastAsia="宋体" w:cs="宋体"/>
                <w:kern w:val="0"/>
                <w:sz w:val="20"/>
                <w:szCs w:val="20"/>
                <w:shd w:val="clear" w:fill="FFFFFF"/>
              </w:rPr>
            </w:pPr>
            <w:r>
              <w:rPr>
                <w:rFonts w:hint="eastAsia" w:ascii="宋体" w:hAnsi="宋体" w:eastAsia="宋体" w:cs="宋体"/>
                <w:kern w:val="0"/>
                <w:sz w:val="20"/>
                <w:szCs w:val="20"/>
                <w:shd w:val="clear" w:fill="FFFFFF"/>
              </w:rPr>
              <w:t>单位：万元</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0"/>
                <w:szCs w:val="20"/>
                <w:shd w:val="clear" w:fill="FFFFFF"/>
              </w:rPr>
            </w:pPr>
            <w:r>
              <w:rPr>
                <w:rFonts w:hint="eastAsia" w:ascii="宋体" w:hAnsi="宋体" w:eastAsia="宋体" w:cs="宋体"/>
                <w:kern w:val="0"/>
                <w:sz w:val="20"/>
                <w:szCs w:val="20"/>
                <w:shd w:val="clear" w:fill="FFFFFF"/>
              </w:rPr>
              <w:t> </w:t>
            </w:r>
          </w:p>
        </w:tc>
      </w:tr>
      <w:tr>
        <w:tblPrEx>
          <w:tblLayout w:type="fixed"/>
          <w:tblCellMar>
            <w:top w:w="0" w:type="dxa"/>
            <w:left w:w="0" w:type="dxa"/>
            <w:bottom w:w="0" w:type="dxa"/>
            <w:right w:w="0" w:type="dxa"/>
          </w:tblCellMar>
        </w:tblPrEx>
        <w:trPr>
          <w:trHeight w:val="308" w:hRule="atLeast"/>
        </w:trPr>
        <w:tc>
          <w:tcPr>
            <w:tcW w:w="30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952"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年初结转和结余</w:t>
            </w:r>
          </w:p>
        </w:tc>
        <w:tc>
          <w:tcPr>
            <w:tcW w:w="966"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本年收入</w:t>
            </w:r>
          </w:p>
        </w:tc>
        <w:tc>
          <w:tcPr>
            <w:tcW w:w="3093" w:type="dxa"/>
            <w:gridSpan w:val="3"/>
            <w:tcBorders>
              <w:top w:val="single" w:color="auto" w:sz="4" w:space="0"/>
              <w:left w:val="nil"/>
              <w:bottom w:val="nil"/>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本年支出</w:t>
            </w:r>
          </w:p>
        </w:tc>
        <w:tc>
          <w:tcPr>
            <w:tcW w:w="1115"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年末结转和结余</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2" w:hRule="atLeast"/>
        </w:trPr>
        <w:tc>
          <w:tcPr>
            <w:tcW w:w="1927" w:type="dxa"/>
            <w:gridSpan w:val="3"/>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支出功能分类科目编码</w:t>
            </w:r>
          </w:p>
        </w:tc>
        <w:tc>
          <w:tcPr>
            <w:tcW w:w="1154"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95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66"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66"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小计</w:t>
            </w:r>
          </w:p>
        </w:tc>
        <w:tc>
          <w:tcPr>
            <w:tcW w:w="1067"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基本支出</w:t>
            </w:r>
          </w:p>
        </w:tc>
        <w:tc>
          <w:tcPr>
            <w:tcW w:w="1060"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项目支出</w:t>
            </w:r>
          </w:p>
        </w:tc>
        <w:tc>
          <w:tcPr>
            <w:tcW w:w="111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12" w:hRule="atLeast"/>
        </w:trPr>
        <w:tc>
          <w:tcPr>
            <w:tcW w:w="1927" w:type="dxa"/>
            <w:gridSpan w:val="3"/>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54"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66"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66"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0"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15"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8" w:hRule="atLeast"/>
        </w:trPr>
        <w:tc>
          <w:tcPr>
            <w:tcW w:w="837" w:type="dxa"/>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类</w:t>
            </w:r>
          </w:p>
        </w:tc>
        <w:tc>
          <w:tcPr>
            <w:tcW w:w="545"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款</w:t>
            </w:r>
          </w:p>
        </w:tc>
        <w:tc>
          <w:tcPr>
            <w:tcW w:w="545"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w:t>
            </w:r>
          </w:p>
        </w:tc>
        <w:tc>
          <w:tcPr>
            <w:tcW w:w="115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栏次</w:t>
            </w:r>
          </w:p>
        </w:tc>
        <w:tc>
          <w:tcPr>
            <w:tcW w:w="95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1</w:t>
            </w:r>
          </w:p>
        </w:tc>
        <w:tc>
          <w:tcPr>
            <w:tcW w:w="96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4</w:t>
            </w:r>
          </w:p>
        </w:tc>
        <w:tc>
          <w:tcPr>
            <w:tcW w:w="96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7</w:t>
            </w:r>
          </w:p>
        </w:tc>
        <w:tc>
          <w:tcPr>
            <w:tcW w:w="10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8</w:t>
            </w:r>
          </w:p>
        </w:tc>
        <w:tc>
          <w:tcPr>
            <w:tcW w:w="10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11</w:t>
            </w:r>
          </w:p>
        </w:tc>
        <w:tc>
          <w:tcPr>
            <w:tcW w:w="111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12</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308" w:hRule="atLeast"/>
        </w:trPr>
        <w:tc>
          <w:tcPr>
            <w:tcW w:w="837"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45"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45"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5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合计</w:t>
            </w:r>
          </w:p>
        </w:tc>
        <w:tc>
          <w:tcPr>
            <w:tcW w:w="95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96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96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0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06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1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pPr>
        <w:shd w:val="clear" w:fill="FFFFFF"/>
        <w:spacing w:before="240" w:beforeAutospacing="0" w:after="240" w:afterAutospacing="0"/>
        <w:ind w:left="0" w:right="0"/>
        <w:rPr>
          <w:rFonts w:hint="eastAsia" w:ascii="宋体" w:hAnsi="宋体" w:eastAsia="宋体" w:cs="宋体"/>
          <w:b w:val="0"/>
          <w:bCs w:val="0"/>
          <w:kern w:val="0"/>
          <w:sz w:val="24"/>
          <w:szCs w:val="24"/>
          <w:shd w:val="clear" w:fill="FFFFFF"/>
        </w:rPr>
      </w:pPr>
      <w:r>
        <w:rPr>
          <w:rFonts w:hint="eastAsia" w:ascii="宋体" w:hAnsi="宋体" w:eastAsia="宋体" w:cs="宋体"/>
          <w:kern w:val="0"/>
          <w:sz w:val="24"/>
          <w:szCs w:val="24"/>
          <w:shd w:val="clear" w:fill="FFFFFF"/>
        </w:rPr>
        <w:t>注：1.本表反映部门本年度政府性基金预算财政拨款收入、支出及结转和结余情况。</w:t>
      </w:r>
    </w:p>
    <w:p>
      <w:pPr>
        <w:shd w:val="clear" w:fill="FFFFFF"/>
        <w:spacing w:before="240" w:beforeAutospacing="0" w:after="240" w:afterAutospacing="0"/>
        <w:ind w:left="0" w:right="0" w:firstLine="480"/>
        <w:rPr>
          <w:rFonts w:hint="eastAsia" w:ascii="宋体" w:hAnsi="宋体" w:eastAsia="宋体" w:cs="宋体"/>
          <w:b w:val="0"/>
          <w:bCs w:val="0"/>
          <w:kern w:val="0"/>
          <w:sz w:val="24"/>
          <w:szCs w:val="24"/>
          <w:shd w:val="clear" w:fill="FFFFFF"/>
        </w:rPr>
      </w:pPr>
      <w:r>
        <w:rPr>
          <w:rFonts w:hint="eastAsia" w:ascii="宋体" w:hAnsi="宋体" w:eastAsia="宋体" w:cs="宋体"/>
          <w:b w:val="0"/>
          <w:bCs w:val="0"/>
          <w:kern w:val="0"/>
          <w:sz w:val="24"/>
          <w:szCs w:val="24"/>
          <w:shd w:val="clear" w:fill="FFFFFF"/>
        </w:rPr>
        <w:t>2. 本部门2020年度没有使用政府性基金预算拨款安排的收支”。</w:t>
      </w:r>
    </w:p>
    <w:p>
      <w:pPr>
        <w:shd w:val="clear" w:fill="FFFFFF"/>
        <w:spacing w:before="240" w:beforeAutospacing="0" w:after="240" w:afterAutospacing="0"/>
        <w:ind w:left="0" w:right="0" w:firstLine="48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九、国有资本经营预算财政拨款支出决算表</w:t>
      </w:r>
    </w:p>
    <w:tbl>
      <w:tblPr>
        <w:tblStyle w:val="15"/>
        <w:tblW w:w="7940" w:type="dxa"/>
        <w:jc w:val="center"/>
        <w:tblInd w:w="0" w:type="dxa"/>
        <w:shd w:val="clear" w:color="auto" w:fill="auto"/>
        <w:tblLayout w:type="fixed"/>
        <w:tblCellMar>
          <w:top w:w="0" w:type="dxa"/>
          <w:left w:w="0" w:type="dxa"/>
          <w:bottom w:w="0" w:type="dxa"/>
          <w:right w:w="0" w:type="dxa"/>
        </w:tblCellMar>
      </w:tblPr>
      <w:tblGrid>
        <w:gridCol w:w="676"/>
        <w:gridCol w:w="1057"/>
        <w:gridCol w:w="1482"/>
        <w:gridCol w:w="1417"/>
        <w:gridCol w:w="1518"/>
        <w:gridCol w:w="1544"/>
        <w:gridCol w:w="246"/>
      </w:tblGrid>
      <w:tr>
        <w:tblPrEx>
          <w:shd w:val="clear" w:color="auto" w:fill="auto"/>
          <w:tblLayout w:type="fixed"/>
          <w:tblCellMar>
            <w:top w:w="0" w:type="dxa"/>
            <w:left w:w="0" w:type="dxa"/>
            <w:bottom w:w="0" w:type="dxa"/>
            <w:right w:w="0" w:type="dxa"/>
          </w:tblCellMar>
        </w:tblPrEx>
        <w:trPr>
          <w:trHeight w:val="720" w:hRule="atLeast"/>
          <w:jc w:val="center"/>
        </w:trPr>
        <w:tc>
          <w:tcPr>
            <w:tcW w:w="7694" w:type="dxa"/>
            <w:gridSpan w:val="6"/>
            <w:tcBorders>
              <w:top w:val="nil"/>
              <w:left w:val="nil"/>
              <w:bottom w:val="nil"/>
              <w:right w:val="nil"/>
            </w:tcBorders>
            <w:shd w:val="clear" w:color="auto" w:fill="FFFFFF"/>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华文中宋" w:hAnsi="华文中宋" w:eastAsia="华文中宋" w:cs="华文中宋"/>
                <w:kern w:val="0"/>
                <w:sz w:val="32"/>
                <w:szCs w:val="32"/>
                <w:shd w:val="clear" w:fill="FFFFFF"/>
              </w:rPr>
              <w:t>国有资本经营预算财政拨款支出决算表</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85" w:hRule="atLeast"/>
          <w:jc w:val="center"/>
        </w:trPr>
        <w:tc>
          <w:tcPr>
            <w:tcW w:w="676" w:type="dxa"/>
            <w:tcBorders>
              <w:top w:val="nil"/>
              <w:left w:val="nil"/>
              <w:bottom w:val="nil"/>
              <w:right w:val="nil"/>
            </w:tcBorders>
            <w:shd w:val="clear" w:color="auto" w:fill="FFFFFF"/>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57" w:type="dxa"/>
            <w:tcBorders>
              <w:top w:val="nil"/>
              <w:left w:val="nil"/>
              <w:bottom w:val="nil"/>
              <w:right w:val="nil"/>
            </w:tcBorders>
            <w:shd w:val="clear" w:color="auto" w:fill="FFFFFF"/>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482" w:type="dxa"/>
            <w:tcBorders>
              <w:top w:val="nil"/>
              <w:left w:val="nil"/>
              <w:bottom w:val="nil"/>
              <w:right w:val="nil"/>
            </w:tcBorders>
            <w:shd w:val="clear" w:color="auto" w:fill="FFFFFF"/>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417" w:type="dxa"/>
            <w:tcBorders>
              <w:top w:val="nil"/>
              <w:left w:val="nil"/>
              <w:bottom w:val="nil"/>
              <w:right w:val="nil"/>
            </w:tcBorders>
            <w:shd w:val="clear" w:color="auto" w:fill="FFFFFF"/>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18" w:type="dxa"/>
            <w:tcBorders>
              <w:top w:val="nil"/>
              <w:left w:val="nil"/>
              <w:bottom w:val="nil"/>
              <w:right w:val="nil"/>
            </w:tcBorders>
            <w:shd w:val="clear" w:color="auto" w:fill="FFFFFF"/>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44" w:type="dxa"/>
            <w:tcBorders>
              <w:top w:val="nil"/>
              <w:left w:val="nil"/>
              <w:bottom w:val="nil"/>
              <w:right w:val="nil"/>
            </w:tcBorders>
            <w:shd w:val="clear" w:color="auto" w:fill="FFFFFF"/>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公开09表</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285" w:hRule="atLeast"/>
          <w:jc w:val="center"/>
        </w:trPr>
        <w:tc>
          <w:tcPr>
            <w:tcW w:w="3215" w:type="dxa"/>
            <w:gridSpan w:val="3"/>
            <w:tcBorders>
              <w:top w:val="nil"/>
              <w:left w:val="nil"/>
              <w:bottom w:val="single" w:color="auto" w:sz="4" w:space="0"/>
              <w:right w:val="nil"/>
            </w:tcBorders>
            <w:shd w:val="clear" w:color="auto" w:fill="FFFFFF"/>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部门/单位：厦门市人民政府国有资产监督管理委员会</w:t>
            </w:r>
          </w:p>
        </w:tc>
        <w:tc>
          <w:tcPr>
            <w:tcW w:w="1417" w:type="dxa"/>
            <w:tcBorders>
              <w:top w:val="nil"/>
              <w:left w:val="nil"/>
              <w:bottom w:val="single" w:color="auto" w:sz="4" w:space="0"/>
              <w:right w:val="nil"/>
            </w:tcBorders>
            <w:shd w:val="clear" w:color="auto" w:fill="FFFFFF"/>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18" w:type="dxa"/>
            <w:tcBorders>
              <w:top w:val="nil"/>
              <w:left w:val="nil"/>
              <w:bottom w:val="single" w:color="auto" w:sz="4" w:space="0"/>
              <w:right w:val="nil"/>
            </w:tcBorders>
            <w:shd w:val="clear" w:color="auto" w:fill="FFFFFF"/>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44" w:type="dxa"/>
            <w:tcBorders>
              <w:top w:val="nil"/>
              <w:left w:val="nil"/>
              <w:bottom w:val="single" w:color="auto" w:sz="4" w:space="0"/>
              <w:right w:val="nil"/>
            </w:tcBorders>
            <w:shd w:val="clear" w:color="auto" w:fill="FFFFFF"/>
            <w:vAlign w:val="center"/>
          </w:tcPr>
          <w:p>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项 </w:t>
            </w:r>
            <w:r>
              <w:rPr>
                <w:rFonts w:hint="eastAsia" w:ascii="宋体" w:hAnsi="宋体" w:eastAsia="宋体" w:cs="宋体"/>
                <w:kern w:val="0"/>
                <w:sz w:val="22"/>
                <w:szCs w:val="22"/>
                <w:shd w:val="clear" w:fill="FFFFFF"/>
              </w:rPr>
              <w:t xml:space="preserve">   </w:t>
            </w:r>
            <w:r>
              <w:rPr>
                <w:rFonts w:hint="eastAsia" w:ascii="宋体" w:hAnsi="宋体" w:eastAsia="宋体" w:cs="宋体"/>
                <w:kern w:val="0"/>
                <w:sz w:val="24"/>
                <w:szCs w:val="24"/>
                <w:shd w:val="clear" w:fill="FFFFFF"/>
              </w:rPr>
              <w:t>目</w:t>
            </w:r>
          </w:p>
        </w:tc>
        <w:tc>
          <w:tcPr>
            <w:tcW w:w="4479"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本年支出</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1733" w:type="dxa"/>
            <w:gridSpan w:val="2"/>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功能分类科目编码</w:t>
            </w:r>
          </w:p>
        </w:tc>
        <w:tc>
          <w:tcPr>
            <w:tcW w:w="1482"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科目名称</w:t>
            </w:r>
          </w:p>
        </w:tc>
        <w:tc>
          <w:tcPr>
            <w:tcW w:w="1417"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合计</w:t>
            </w:r>
          </w:p>
        </w:tc>
        <w:tc>
          <w:tcPr>
            <w:tcW w:w="1518"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基本支出  </w:t>
            </w:r>
          </w:p>
        </w:tc>
        <w:tc>
          <w:tcPr>
            <w:tcW w:w="1544"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项目支出</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1733"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8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1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1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44"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1733"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8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1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1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44"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栏次</w:t>
            </w:r>
          </w:p>
        </w:tc>
        <w:tc>
          <w:tcPr>
            <w:tcW w:w="141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1</w:t>
            </w:r>
          </w:p>
        </w:tc>
        <w:tc>
          <w:tcPr>
            <w:tcW w:w="15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w:t>
            </w:r>
          </w:p>
        </w:tc>
        <w:tc>
          <w:tcPr>
            <w:tcW w:w="154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合计</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w:t>
            </w:r>
          </w:p>
        </w:tc>
        <w:tc>
          <w:tcPr>
            <w:tcW w:w="1482"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国有资本经营预算支出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w:t>
            </w:r>
          </w:p>
        </w:tc>
        <w:tc>
          <w:tcPr>
            <w:tcW w:w="1482"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其他国有资本经营预算支出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402" w:hRule="atLeast"/>
          <w:jc w:val="center"/>
        </w:trPr>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2239901</w:t>
            </w:r>
          </w:p>
        </w:tc>
        <w:tc>
          <w:tcPr>
            <w:tcW w:w="1482" w:type="dxa"/>
            <w:tcBorders>
              <w:top w:val="single" w:color="auto" w:sz="4" w:space="0"/>
              <w:left w:val="nil"/>
              <w:bottom w:val="single" w:color="auto" w:sz="4" w:space="0"/>
              <w:right w:val="single" w:color="auto" w:sz="4" w:space="0"/>
            </w:tcBorders>
            <w:shd w:val="clear" w:color="auto" w:fill="auto"/>
            <w:vAlign w:val="center"/>
          </w:tcPr>
          <w:p>
            <w:pPr>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 xml:space="preserve">  其他国有资本经营预算支出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tblPrEx>
          <w:tblLayout w:type="fixed"/>
          <w:tblCellMar>
            <w:top w:w="0" w:type="dxa"/>
            <w:left w:w="0" w:type="dxa"/>
            <w:bottom w:w="0" w:type="dxa"/>
            <w:right w:w="0" w:type="dxa"/>
          </w:tblCellMar>
        </w:tblPrEx>
        <w:trPr>
          <w:trHeight w:val="720" w:hRule="atLeast"/>
          <w:jc w:val="center"/>
        </w:trPr>
        <w:tc>
          <w:tcPr>
            <w:tcW w:w="7694" w:type="dxa"/>
            <w:gridSpan w:val="6"/>
            <w:tcBorders>
              <w:top w:val="single" w:color="auto" w:sz="4" w:space="0"/>
              <w:left w:val="nil"/>
              <w:bottom w:val="nil"/>
              <w:right w:val="nil"/>
            </w:tcBorders>
            <w:shd w:val="clear" w:color="auto" w:fill="auto"/>
            <w:vAlign w:val="center"/>
          </w:tcPr>
          <w:p>
            <w:pPr>
              <w:shd w:val="clear" w:fill="FFFFFF"/>
              <w:spacing w:before="0" w:beforeAutospacing="1" w:after="240" w:afterAutospacing="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注：1.本表反映部门本年度国有资本经营预算财政拨款支出情况。</w:t>
            </w:r>
          </w:p>
          <w:p>
            <w:pPr>
              <w:shd w:val="clear" w:fill="FFFFFF"/>
              <w:spacing w:before="240" w:beforeAutospacing="0"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tc>
        <w:tc>
          <w:tcPr>
            <w:tcW w:w="246" w:type="dxa"/>
            <w:tcBorders>
              <w:top w:val="nil"/>
              <w:left w:val="nil"/>
              <w:bottom w:val="nil"/>
              <w:right w:val="nil"/>
            </w:tcBorders>
            <w:shd w:val="clear" w:color="auto" w:fill="auto"/>
            <w:vAlign w:val="center"/>
          </w:tcPr>
          <w:p>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pPr>
        <w:shd w:val="clear" w:fill="FFFFFF"/>
        <w:spacing w:before="240" w:beforeAutospacing="0" w:after="240" w:afterAutospacing="0" w:line="600" w:lineRule="atLeast"/>
        <w:ind w:left="0" w:right="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 xml:space="preserve"> 第三部分 2020年度部门决算情况说明</w:t>
      </w:r>
    </w:p>
    <w:p>
      <w:pPr>
        <w:shd w:val="clear" w:fill="FFFFFF"/>
        <w:spacing w:before="240" w:beforeAutospacing="0" w:after="240" w:afterAutospacing="0" w:line="600" w:lineRule="atLeast"/>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r>
        <w:rPr>
          <w:rFonts w:hint="eastAsia" w:ascii="黑体" w:hAnsi="宋体" w:eastAsia="黑体" w:cs="黑体"/>
          <w:kern w:val="0"/>
          <w:sz w:val="32"/>
          <w:szCs w:val="32"/>
          <w:shd w:val="clear" w:fill="FFFFFF"/>
        </w:rPr>
        <w:t>一、收入支出决算总体情况说明</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2020年本部门年初结转和结余549.40万元，使用非财政拨款结余0.00万元，本年收入22,884.17万元，本年支出22,245.55万元，结余分配0.00万元，年末结转和结余1,188.02万元。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（一）2020年收入22,884.17万元，比上年决算数增加17,648.44万元，增长337.08％，主要原因是：预算调整增加国有资本经营预算财政拨款15000万元,具体情况如下：</w:t>
      </w:r>
    </w:p>
    <w:p>
      <w:pPr>
        <w:shd w:val="clear" w:fill="FFFFFF"/>
        <w:spacing w:before="240" w:beforeAutospacing="0" w:after="240" w:afterAutospacing="0" w:line="600" w:lineRule="atLeast"/>
        <w:ind w:left="160"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1.一般公共预算财政拨款收入7,884.17万元。</w:t>
      </w:r>
    </w:p>
    <w:p>
      <w:pPr>
        <w:shd w:val="clear" w:fill="FFFFFF"/>
        <w:spacing w:before="240" w:beforeAutospacing="0" w:after="240" w:afterAutospacing="0" w:line="600" w:lineRule="atLeast"/>
        <w:ind w:left="160"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2.政府性基金预算财政拨款收入0.00万元。</w:t>
      </w:r>
    </w:p>
    <w:p>
      <w:pPr>
        <w:shd w:val="clear" w:fill="FFFFFF"/>
        <w:spacing w:before="240" w:beforeAutospacing="0" w:after="240" w:afterAutospacing="0" w:line="600" w:lineRule="atLeast"/>
        <w:ind w:left="160"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3.国有资本经营预算财政拨款收入15,000.00万元。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4.上级补助收入0.00万元。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5.事业收入0.00万元。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6.经营收入0.00万元。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7.附属单位上缴收入0.00万元。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8.其他收入0.00万元。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（二）2020年支出22,245.55万元，比上年决算数增加18,305.05万元，增长464.54％，主要原因是：</w:t>
      </w:r>
      <w:r>
        <w:rPr>
          <w:rFonts w:hint="eastAsia" w:ascii="宋体" w:hAnsi="宋体" w:eastAsia="宋体" w:cs="宋体"/>
          <w:kern w:val="0"/>
          <w:sz w:val="32"/>
          <w:szCs w:val="32"/>
          <w:shd w:val="clear" w:fill="FFFFFF"/>
        </w:rPr>
        <w:t>增加国有资本经营预算支出</w:t>
      </w:r>
      <w:r>
        <w:rPr>
          <w:rFonts w:hint="default" w:ascii="仿宋_GB2312" w:hAnsi="仿宋" w:eastAsia="仿宋_GB2312" w:cs="仿宋_GB2312"/>
          <w:kern w:val="0"/>
          <w:sz w:val="32"/>
          <w:szCs w:val="32"/>
          <w:shd w:val="clear" w:fill="FFFFFF"/>
        </w:rPr>
        <w:t>15000</w:t>
      </w:r>
      <w:r>
        <w:rPr>
          <w:rFonts w:hint="eastAsia" w:ascii="宋体" w:hAnsi="宋体" w:eastAsia="宋体" w:cs="宋体"/>
          <w:kern w:val="0"/>
          <w:sz w:val="32"/>
          <w:szCs w:val="32"/>
          <w:shd w:val="clear" w:fill="FFFFFF"/>
        </w:rPr>
        <w:t>万元</w:t>
      </w:r>
      <w:r>
        <w:rPr>
          <w:rFonts w:hint="eastAsia" w:ascii="仿宋" w:hAnsi="仿宋" w:eastAsia="仿宋" w:cs="仿宋"/>
          <w:kern w:val="0"/>
          <w:sz w:val="32"/>
          <w:szCs w:val="32"/>
          <w:shd w:val="clear" w:fill="FFFFFF"/>
        </w:rPr>
        <w:t>，具体情况如下：</w:t>
      </w:r>
    </w:p>
    <w:p>
      <w:pPr>
        <w:shd w:val="clear" w:fill="FFFFFF"/>
        <w:spacing w:before="240" w:beforeAutospacing="0" w:after="240" w:afterAutospacing="0" w:line="600" w:lineRule="atLeast"/>
        <w:ind w:left="237"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1.基本支出3,456.32万元。其中，人员支出3,263.61万元，公用支出192.71万元。</w:t>
      </w:r>
    </w:p>
    <w:p>
      <w:pPr>
        <w:shd w:val="clear" w:fill="FFFFFF"/>
        <w:spacing w:before="240" w:beforeAutospacing="0" w:after="240" w:afterAutospacing="0" w:line="600" w:lineRule="atLeast"/>
        <w:ind w:left="716"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2.项目支出18,789.23万元。</w:t>
      </w:r>
    </w:p>
    <w:p>
      <w:pPr>
        <w:shd w:val="clear" w:fill="FFFFFF"/>
        <w:spacing w:before="240" w:beforeAutospacing="0" w:after="240" w:afterAutospacing="0" w:line="600" w:lineRule="atLeast"/>
        <w:ind w:left="716"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3.上缴上级支出0.00万元。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4.经营支出0.00万元。</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5.对附属单位补助支出0.00万元。</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二、一般公共预算拨款支出决算情况说明</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2020年一般公共预算拨款支出7,245.55万元，比上年决算数增加3,305.05万元，增长83.87%，主要原因是：加大政策扶持力度，政策性补助支出增加，具体情况如下(按</w:t>
      </w:r>
      <w:r>
        <w:rPr>
          <w:rFonts w:hint="eastAsia" w:ascii="仿宋" w:hAnsi="仿宋" w:eastAsia="仿宋" w:cs="仿宋"/>
          <w:b/>
          <w:bCs/>
          <w:kern w:val="0"/>
          <w:sz w:val="32"/>
          <w:szCs w:val="32"/>
          <w:shd w:val="clear" w:fill="FFFFFF"/>
        </w:rPr>
        <w:t>项级科目</w:t>
      </w:r>
      <w:r>
        <w:rPr>
          <w:rFonts w:hint="eastAsia" w:ascii="仿宋" w:hAnsi="仿宋" w:eastAsia="仿宋" w:cs="仿宋"/>
          <w:kern w:val="0"/>
          <w:sz w:val="32"/>
          <w:szCs w:val="32"/>
          <w:shd w:val="clear" w:fill="FFFFFF"/>
        </w:rPr>
        <w:t>分类统计)：</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 2019999（项级科目）其他一般公共服务支出41万元，上年无该项指出。主要是安可替代工程支出。</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（二）2060599（项级科目）其他科技条件与服务支出70万元，上年无该项指出。主要是信息服务经费等方面的支出。</w:t>
      </w:r>
    </w:p>
    <w:p>
      <w:pPr>
        <w:shd w:val="clear" w:fill="FFFFFF"/>
        <w:spacing w:before="240" w:beforeAutospacing="0" w:after="240" w:afterAutospacing="0" w:line="600" w:lineRule="atLeast"/>
        <w:ind w:left="0" w:right="0" w:firstLine="64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（三）280502（项级科目）行政单位离退休1185.54万元，较上年决算数增加792.71万元，增长201.79%。主要原因是国企离退改制人员经费增加。</w:t>
      </w:r>
    </w:p>
    <w:p>
      <w:pPr>
        <w:shd w:val="clear" w:fill="FFFFFF"/>
        <w:spacing w:before="240" w:beforeAutospacing="0" w:after="240" w:afterAutospacing="0" w:line="600" w:lineRule="atLeast"/>
        <w:ind w:left="0" w:right="0" w:firstLine="64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（四）2080505（项级科目）机关事业单位基本养老保险缴费支出99.60万元，较上年决算数减少14.29万元，下降12.55%。主要原因是人数减少。</w:t>
      </w:r>
    </w:p>
    <w:p>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（五）2101101（项级科目）行政单位医疗46.19万元，较上年决算数增加7.48万元，增长19.32%。主要原因是人员变动。</w:t>
      </w:r>
    </w:p>
    <w:p>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（六）2101103（项级科目）公务员医疗补助16.17万元，较上年决算数减少0.84万元，下降4.94%。主要原因是人员变动。</w:t>
      </w:r>
    </w:p>
    <w:p>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（七）2140101（项级科目）行政运行2108.82万元，较上年决算数增加19.14万元，增长0.92%。与上年基本持平。</w:t>
      </w:r>
    </w:p>
    <w:p>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（八）2140102（项级科目）一般行政管理事务2067.38万元，较上年决算数增加894.49万元，增长76.26%。主要原因是发展经费北站物业管理服务费经费增加。</w:t>
      </w:r>
    </w:p>
    <w:p>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（九）2239901（项级科目）其他国有资产监管支出1000万元，较上年决算数增加930.48万元，增长1338.43%。主要原因是资本金增加。</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（十）2159999（项级科目）其他资源勘探工业信息等支出610.76万元，上年无该项指出。主要是</w:t>
      </w:r>
      <w:r>
        <w:rPr>
          <w:rFonts w:hint="eastAsia" w:ascii="仿宋" w:hAnsi="仿宋" w:eastAsia="仿宋" w:cs="仿宋"/>
          <w:kern w:val="0"/>
          <w:sz w:val="32"/>
          <w:szCs w:val="32"/>
          <w:shd w:val="clear" w:fill="FFFFFF"/>
          <w:lang w:eastAsia="zh-CN"/>
        </w:rPr>
        <w:t>疫情防控市级重点保障企业贷款贴息</w:t>
      </w:r>
      <w:r>
        <w:rPr>
          <w:rFonts w:hint="eastAsia" w:ascii="仿宋" w:hAnsi="仿宋" w:eastAsia="仿宋" w:cs="仿宋"/>
          <w:kern w:val="0"/>
          <w:sz w:val="32"/>
          <w:szCs w:val="32"/>
          <w:shd w:val="clear" w:fill="FFFFFF"/>
        </w:rPr>
        <w:t>方面的支出。</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三、政府性基金财政拨款支出决算情况说明</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楷体" w:hAnsi="楷体" w:eastAsia="楷体" w:cs="楷体"/>
          <w:kern w:val="0"/>
          <w:sz w:val="32"/>
          <w:szCs w:val="32"/>
          <w:shd w:val="clear" w:fill="FFFFFF"/>
        </w:rPr>
        <w:t>本部门2020年度没有使用政府性基金预算拨款安排的支出</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四、国有资本经营预算财政拨款支出决算情况说明</w:t>
      </w:r>
    </w:p>
    <w:p>
      <w:pPr>
        <w:shd w:val="clear" w:fill="FFFFFF"/>
        <w:spacing w:before="240" w:beforeAutospacing="0" w:after="240" w:afterAutospacing="0" w:line="600" w:lineRule="atLeast"/>
        <w:ind w:left="0" w:right="0" w:firstLine="704"/>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2020年度国有资本经营预算支出15,000.00万元，具体情况如下(按项级科目统计)：</w:t>
      </w:r>
    </w:p>
    <w:p>
      <w:pPr>
        <w:shd w:val="clear" w:fill="FFFFFF"/>
        <w:spacing w:before="240" w:beforeAutospacing="0" w:after="240" w:afterAutospacing="0" w:line="600" w:lineRule="atLeast"/>
        <w:ind w:left="0" w:right="0" w:firstLine="704"/>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（一）其他国有资本经营预算支出（项级科目）15,000.00万元，主要用于中文投二期基金出资款。</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五、一般公共预算财政拨款基本支出决算情况说明</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2020年度一般公共预算财政拨款基本支出3,456.32万元，其中：</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人员经费3,263.61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公用经费192.71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六、一般公共预算拨款“三公”经费支出决算情况说明</w:t>
      </w:r>
    </w:p>
    <w:p>
      <w:pPr>
        <w:shd w:val="clear" w:fill="FFFFFF"/>
        <w:spacing w:before="240" w:beforeAutospacing="0" w:after="240" w:afterAutospacing="0" w:line="600" w:lineRule="atLeast"/>
        <w:ind w:left="0" w:right="0" w:firstLine="704"/>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2020年度“三公”经费财政拨款支出1.63万元，比年初预算的2.00万元下降 18.50%。主要原因是接待批次减少。具体情况如下：</w:t>
      </w:r>
      <w:r>
        <w:rPr>
          <w:rFonts w:hint="eastAsia" w:ascii="仿宋" w:hAnsi="仿宋" w:eastAsia="仿宋" w:cs="仿宋"/>
          <w:kern w:val="0"/>
          <w:sz w:val="32"/>
          <w:szCs w:val="32"/>
          <w:shd w:val="clear" w:fill="FFFFFF"/>
        </w:rPr>
        <w:br w:type="textWrapping"/>
      </w:r>
      <w:r>
        <w:rPr>
          <w:rFonts w:hint="eastAsia" w:ascii="仿宋" w:hAnsi="仿宋" w:eastAsia="仿宋" w:cs="仿宋"/>
          <w:kern w:val="0"/>
          <w:sz w:val="32"/>
          <w:szCs w:val="32"/>
          <w:shd w:val="clear" w:fill="FFFFFF"/>
        </w:rPr>
        <w:t xml:space="preserve">  （一）因公出国（境）费支出0.00万元，比年初预算的0.00万元下降0.00%。全年安排本部门组织的出国团组0个，参加其他部门出国团组0个；全年因公出国（境）累计0人次。</w:t>
      </w:r>
    </w:p>
    <w:p>
      <w:pPr>
        <w:shd w:val="clear" w:fill="FFFFFF"/>
        <w:spacing w:before="240" w:beforeAutospacing="0" w:after="240" w:afterAutospacing="0" w:line="600" w:lineRule="atLeast"/>
        <w:ind w:left="0" w:right="0" w:firstLine="645"/>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（二）公务用车购置及运行维护费支出0.00万元，比年初预算的0.00万元下降0.00%。其中：</w:t>
      </w:r>
    </w:p>
    <w:p>
      <w:pPr>
        <w:shd w:val="clear" w:fill="FFFFFF"/>
        <w:spacing w:before="240" w:beforeAutospacing="0" w:after="240" w:afterAutospacing="0" w:line="600" w:lineRule="atLeast"/>
        <w:ind w:left="0" w:right="0" w:firstLine="645"/>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公务用车购置费支出0.00万元，比年初预算的0.00万元下降0.00%，2020年公务用车购置0辆。</w:t>
      </w:r>
    </w:p>
    <w:p>
      <w:pPr>
        <w:shd w:val="clear" w:fill="FFFFFF"/>
        <w:spacing w:before="240" w:beforeAutospacing="0" w:after="240" w:afterAutospacing="0" w:line="600" w:lineRule="atLeast"/>
        <w:ind w:left="0" w:right="0" w:firstLine="645"/>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公务用车运行维护费支出0.00万元，比年初预算的0.00万元下降0.00%。截至2020年12月31日，本部门公务用车保有量为0辆。</w:t>
      </w:r>
    </w:p>
    <w:p>
      <w:pPr>
        <w:shd w:val="clear" w:fill="FFFFFF"/>
        <w:spacing w:before="240" w:beforeAutospacing="0" w:after="240" w:afterAutospacing="0" w:line="600" w:lineRule="atLeast"/>
        <w:ind w:left="0" w:right="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（三）公务接待费支出1.63万元，比年初预算的2.00万元下降18.50%。主要是公务接待减少，累计接待7批次、112人次。</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七、预算绩效情况说明</w:t>
      </w:r>
    </w:p>
    <w:p>
      <w:pPr>
        <w:shd w:val="clear" w:fill="FFFFFF"/>
        <w:spacing w:before="240" w:beforeAutospacing="0" w:after="240" w:afterAutospacing="0" w:line="600" w:lineRule="atLeast"/>
        <w:ind w:left="0" w:right="0" w:firstLine="640"/>
        <w:rPr>
          <w:rFonts w:hint="eastAsia" w:ascii="仿宋" w:hAnsi="仿宋" w:eastAsia="仿宋" w:cs="仿宋"/>
          <w:kern w:val="0"/>
          <w:sz w:val="31"/>
          <w:szCs w:val="31"/>
          <w:shd w:val="clear" w:fill="FFFFFF"/>
        </w:rPr>
      </w:pPr>
      <w:r>
        <w:rPr>
          <w:rFonts w:hint="eastAsia" w:ascii="仿宋" w:hAnsi="仿宋" w:eastAsia="仿宋" w:cs="仿宋"/>
          <w:kern w:val="0"/>
          <w:sz w:val="32"/>
          <w:szCs w:val="32"/>
          <w:shd w:val="clear" w:fill="FFFFFF"/>
        </w:rPr>
        <w:t>根据预算绩效管理要求，本部门组织2020年度整体支出绩效自评，评价结果为</w:t>
      </w:r>
      <w:r>
        <w:rPr>
          <w:rFonts w:hint="eastAsia" w:ascii="仿宋" w:hAnsi="仿宋" w:eastAsia="仿宋" w:cs="仿宋"/>
          <w:kern w:val="0"/>
          <w:sz w:val="32"/>
          <w:szCs w:val="32"/>
          <w:shd w:val="clear" w:fill="FFFFFF"/>
          <w:lang w:eastAsia="zh-CN"/>
        </w:rPr>
        <w:t>“大于等于</w:t>
      </w:r>
      <w:r>
        <w:rPr>
          <w:rFonts w:hint="eastAsia" w:ascii="仿宋" w:hAnsi="仿宋" w:eastAsia="仿宋" w:cs="仿宋"/>
          <w:kern w:val="0"/>
          <w:sz w:val="32"/>
          <w:szCs w:val="32"/>
          <w:shd w:val="clear" w:fill="FFFFFF"/>
          <w:lang w:val="en-US" w:eastAsia="zh-CN"/>
        </w:rPr>
        <w:t>90</w:t>
      </w:r>
      <w:r>
        <w:rPr>
          <w:rFonts w:hint="eastAsia" w:ascii="仿宋" w:hAnsi="仿宋" w:eastAsia="仿宋" w:cs="仿宋"/>
          <w:kern w:val="0"/>
          <w:sz w:val="31"/>
          <w:szCs w:val="31"/>
          <w:shd w:val="clear" w:fill="FFFFFF"/>
        </w:rPr>
        <w:t>分</w:t>
      </w:r>
      <w:r>
        <w:rPr>
          <w:rFonts w:hint="eastAsia" w:ascii="仿宋" w:hAnsi="仿宋" w:eastAsia="仿宋" w:cs="仿宋"/>
          <w:kern w:val="0"/>
          <w:sz w:val="31"/>
          <w:szCs w:val="31"/>
          <w:shd w:val="clear" w:fill="FFFFFF"/>
          <w:lang w:eastAsia="zh-CN"/>
        </w:rPr>
        <w:t>”</w:t>
      </w:r>
      <w:r>
        <w:rPr>
          <w:rFonts w:hint="eastAsia" w:ascii="仿宋" w:hAnsi="仿宋" w:eastAsia="仿宋" w:cs="仿宋"/>
          <w:kern w:val="0"/>
          <w:sz w:val="31"/>
          <w:szCs w:val="31"/>
          <w:shd w:val="clear" w:fill="FFFFFF"/>
        </w:rPr>
        <w:t>。《市级部门（单位）整体支出绩效自评表》详见附件。</w:t>
      </w:r>
    </w:p>
    <w:p>
      <w:pPr>
        <w:pStyle w:val="2"/>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hd w:val="clear" w:fill="FFFFFF"/>
        <w:spacing w:before="240" w:beforeAutospacing="0" w:after="240" w:afterAutospacing="0" w:line="600" w:lineRule="atLeast"/>
        <w:ind w:left="0" w:right="0" w:firstLine="643"/>
        <w:outlineLvl w:val="2"/>
        <w:rPr>
          <w:rFonts w:hint="eastAsia" w:ascii="宋体" w:hAnsi="宋体" w:eastAsia="宋体" w:cs="宋体"/>
          <w:kern w:val="0"/>
          <w:sz w:val="24"/>
          <w:szCs w:val="24"/>
          <w:shd w:val="clear" w:fill="FFFFFF"/>
        </w:rPr>
      </w:pPr>
      <w:r>
        <w:rPr>
          <w:rFonts w:hint="eastAsia" w:ascii="楷体" w:hAnsi="楷体" w:eastAsia="楷体" w:cs="楷体"/>
          <w:b/>
          <w:bCs/>
          <w:kern w:val="0"/>
          <w:sz w:val="32"/>
          <w:szCs w:val="32"/>
          <w:shd w:val="clear" w:fill="FFFFFF"/>
        </w:rPr>
        <w:t>（一）机关运行经费</w:t>
      </w:r>
      <w:r>
        <w:rPr>
          <w:rFonts w:hint="eastAsia" w:ascii="黑体" w:hAnsi="宋体" w:eastAsia="黑体" w:cs="黑体"/>
          <w:kern w:val="0"/>
          <w:sz w:val="32"/>
          <w:szCs w:val="32"/>
          <w:shd w:val="clear" w:fill="FFFFFF"/>
        </w:rPr>
        <w:t xml:space="preserve"> </w:t>
      </w:r>
      <w:bookmarkStart w:id="0" w:name="_GoBack"/>
      <w:bookmarkEnd w:id="0"/>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2020年度机关运行经费支出192.71万元，比上年决算数增长-19.58%，主要是:机关节能减排效果明显。</w:t>
      </w:r>
    </w:p>
    <w:p>
      <w:pPr>
        <w:shd w:val="clear" w:fill="FFFFFF"/>
        <w:spacing w:before="240" w:beforeAutospacing="0" w:after="240" w:afterAutospacing="0" w:line="600" w:lineRule="atLeast"/>
        <w:ind w:left="0" w:right="0" w:firstLine="643"/>
        <w:outlineLvl w:val="2"/>
        <w:rPr>
          <w:rFonts w:hint="eastAsia" w:ascii="楷体" w:hAnsi="楷体" w:eastAsia="楷体" w:cs="楷体"/>
          <w:b/>
          <w:bCs/>
          <w:kern w:val="0"/>
          <w:sz w:val="32"/>
          <w:szCs w:val="32"/>
          <w:shd w:val="clear" w:fill="FFFFFF"/>
        </w:rPr>
      </w:pPr>
    </w:p>
    <w:p>
      <w:pPr>
        <w:shd w:val="clear" w:fill="FFFFFF"/>
        <w:spacing w:before="240" w:beforeAutospacing="0" w:after="240" w:afterAutospacing="0" w:line="600" w:lineRule="atLeast"/>
        <w:ind w:left="0" w:right="0" w:firstLine="643"/>
        <w:outlineLvl w:val="2"/>
        <w:rPr>
          <w:rFonts w:hint="eastAsia" w:ascii="宋体" w:hAnsi="宋体" w:eastAsia="宋体" w:cs="宋体"/>
          <w:kern w:val="0"/>
          <w:sz w:val="24"/>
          <w:szCs w:val="24"/>
          <w:shd w:val="clear" w:fill="FFFFFF"/>
        </w:rPr>
      </w:pPr>
      <w:r>
        <w:rPr>
          <w:rFonts w:hint="eastAsia" w:ascii="楷体" w:hAnsi="楷体" w:eastAsia="楷体" w:cs="楷体"/>
          <w:b/>
          <w:bCs/>
          <w:kern w:val="0"/>
          <w:sz w:val="32"/>
          <w:szCs w:val="32"/>
          <w:shd w:val="clear" w:fill="FFFFFF"/>
        </w:rPr>
        <w:t>（二）政府采购情况</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本部门2020年度政府采购支出总额43.68万元，其中：政府采购货物支出43.68万元、政府采购工程支出</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万元、政府采购服务支出</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万元。授予中小企业合同金额</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万元，占政府采购支出总额的</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%，其中：授予小微企业合同金额</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万元，占政府采购支出总额的</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w:t>
      </w:r>
    </w:p>
    <w:p>
      <w:pPr>
        <w:shd w:val="clear" w:fill="FFFFFF"/>
        <w:spacing w:before="240" w:beforeAutospacing="0" w:after="240" w:afterAutospacing="0" w:line="600" w:lineRule="atLeast"/>
        <w:ind w:left="0" w:right="0" w:firstLine="707"/>
        <w:outlineLvl w:val="2"/>
        <w:rPr>
          <w:rFonts w:hint="eastAsia" w:ascii="宋体" w:hAnsi="宋体" w:eastAsia="宋体" w:cs="宋体"/>
          <w:kern w:val="0"/>
          <w:sz w:val="24"/>
          <w:szCs w:val="24"/>
          <w:shd w:val="clear" w:fill="FFFFFF"/>
        </w:rPr>
      </w:pPr>
      <w:r>
        <w:rPr>
          <w:rFonts w:hint="eastAsia" w:ascii="楷体" w:hAnsi="楷体" w:eastAsia="楷体" w:cs="楷体"/>
          <w:b/>
          <w:bCs/>
          <w:kern w:val="0"/>
          <w:sz w:val="32"/>
          <w:szCs w:val="32"/>
          <w:shd w:val="clear" w:fill="FFFFFF"/>
        </w:rPr>
        <w:t>（三）国有资产占用使用情况</w:t>
      </w:r>
    </w:p>
    <w:p>
      <w:pPr>
        <w:shd w:val="clear" w:fill="FFFFFF"/>
        <w:spacing w:before="240" w:beforeAutospacing="0" w:after="240" w:afterAutospacing="0" w:line="600" w:lineRule="atLeast"/>
        <w:ind w:left="0" w:right="0" w:firstLine="704"/>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截至2020年12月31日，本部门共有车辆</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辆，其中：副部（省）级以上领导用车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辆、主要领导干部用车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辆、机要通信用车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辆、应急保障用车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辆、执法执勤用车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辆、特种专业技术用车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辆、离退休干部用车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辆、其他用车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辆；单价50万元（含）以上通用设备</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台（套），单价100万元（含）以上专用设备</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台（套）。</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p>
    <w:p>
      <w:pPr>
        <w:shd w:val="clear" w:fill="FFFFFF"/>
        <w:spacing w:before="240" w:beforeAutospacing="0" w:after="240" w:afterAutospacing="0" w:line="600" w:lineRule="atLeast"/>
        <w:ind w:left="0" w:right="0" w:firstLine="720"/>
        <w:jc w:val="center"/>
        <w:outlineLvl w:val="0"/>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第四部分 名词解释</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r>
        <w:rPr>
          <w:rFonts w:hint="eastAsia" w:ascii="仿宋" w:hAnsi="仿宋" w:eastAsia="仿宋" w:cs="仿宋"/>
          <w:b/>
          <w:bCs/>
          <w:color w:val="000000"/>
          <w:kern w:val="0"/>
          <w:sz w:val="32"/>
          <w:szCs w:val="32"/>
          <w:shd w:val="clear" w:fill="FFFFFF"/>
        </w:rPr>
        <w:t>一、一般公共预算财政拨款收入：</w:t>
      </w:r>
      <w:r>
        <w:rPr>
          <w:rFonts w:hint="eastAsia" w:ascii="仿宋" w:hAnsi="仿宋" w:eastAsia="仿宋" w:cs="仿宋"/>
          <w:color w:val="000000"/>
          <w:kern w:val="0"/>
          <w:sz w:val="32"/>
          <w:szCs w:val="32"/>
          <w:shd w:val="clear" w:fill="FFFFFF"/>
        </w:rPr>
        <w:t xml:space="preserve">指市级财政当年拨付的资金。 </w:t>
      </w:r>
    </w:p>
    <w:p>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二、事业收入：</w:t>
      </w:r>
      <w:r>
        <w:rPr>
          <w:rFonts w:hint="eastAsia" w:ascii="仿宋" w:hAnsi="仿宋" w:eastAsia="仿宋" w:cs="仿宋"/>
          <w:color w:val="000000"/>
          <w:kern w:val="0"/>
          <w:sz w:val="32"/>
          <w:szCs w:val="32"/>
          <w:shd w:val="clear" w:fill="FFFFFF"/>
        </w:rPr>
        <w:t>指事业单位开展专业业务活动及辅助活动所取得的收入。</w:t>
      </w:r>
    </w:p>
    <w:p>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三、经营收入：</w:t>
      </w:r>
      <w:r>
        <w:rPr>
          <w:rFonts w:hint="eastAsia" w:ascii="仿宋" w:hAnsi="仿宋" w:eastAsia="仿宋" w:cs="仿宋"/>
          <w:color w:val="000000"/>
          <w:kern w:val="0"/>
          <w:sz w:val="32"/>
          <w:szCs w:val="32"/>
          <w:shd w:val="clear" w:fill="FFFFFF"/>
        </w:rPr>
        <w:t xml:space="preserve">指事业单位在专业业务活动及其辅助活动之外开展非独立核算经营活动取得的收入。 </w:t>
      </w:r>
    </w:p>
    <w:p>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四、其他收入：</w:t>
      </w:r>
      <w:r>
        <w:rPr>
          <w:rFonts w:hint="eastAsia" w:ascii="仿宋" w:hAnsi="仿宋" w:eastAsia="仿宋" w:cs="仿宋"/>
          <w:color w:val="000000"/>
          <w:kern w:val="0"/>
          <w:sz w:val="32"/>
          <w:szCs w:val="32"/>
          <w:shd w:val="clear" w:fill="FFFFFF"/>
        </w:rPr>
        <w:t xml:space="preserve">指除上述“财政拨款收入”、“事业收入”、“经营收入”等以外的收入。主要是事业单位固定资产出租收入、存款利息收入等。 </w:t>
      </w:r>
    </w:p>
    <w:p>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五、使用非财政拨款结余：</w:t>
      </w:r>
      <w:r>
        <w:rPr>
          <w:rFonts w:hint="eastAsia" w:ascii="仿宋" w:hAnsi="仿宋" w:eastAsia="仿宋" w:cs="仿宋"/>
          <w:color w:val="000000"/>
          <w:kern w:val="0"/>
          <w:sz w:val="32"/>
          <w:szCs w:val="32"/>
          <w:shd w:val="clear" w:fill="FFFFFF"/>
        </w:rPr>
        <w:t xml:space="preserve">指事业单位使用以前年度积累的非财政拨款结余弥补当年收支差额的金额。 </w:t>
      </w:r>
    </w:p>
    <w:p>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六、年初结转和结余：</w:t>
      </w:r>
      <w:r>
        <w:rPr>
          <w:rFonts w:hint="eastAsia" w:ascii="仿宋" w:hAnsi="仿宋" w:eastAsia="仿宋" w:cs="仿宋"/>
          <w:color w:val="000000"/>
          <w:kern w:val="0"/>
          <w:sz w:val="32"/>
          <w:szCs w:val="32"/>
          <w:shd w:val="clear" w:fill="FFFFFF"/>
        </w:rPr>
        <w:t>指单位以前年度尚未完成、结转到本年仍按原规定用途继续使用的资金，或项目已完成等产生的结余资金。</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七、结余分配：</w:t>
      </w:r>
      <w:r>
        <w:rPr>
          <w:rFonts w:hint="eastAsia" w:ascii="仿宋" w:hAnsi="仿宋" w:eastAsia="仿宋" w:cs="仿宋"/>
          <w:kern w:val="0"/>
          <w:sz w:val="32"/>
          <w:szCs w:val="32"/>
          <w:shd w:val="clear" w:fill="FFFFFF"/>
        </w:rPr>
        <w:t xml:space="preserve">指事业单位按照会计制度规定缴纳的所得税、提取的专用结余以及转入非财政拨款结余的金额等。 </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八、年末结转和结余：</w:t>
      </w:r>
      <w:r>
        <w:rPr>
          <w:rFonts w:hint="eastAsia" w:ascii="仿宋" w:hAnsi="仿宋" w:eastAsia="仿宋" w:cs="仿宋"/>
          <w:kern w:val="0"/>
          <w:sz w:val="32"/>
          <w:szCs w:val="32"/>
          <w:shd w:val="clear" w:fill="FFFFFF"/>
        </w:rPr>
        <w:t xml:space="preserve">指单位按有关规定结转到下年或以后年度继续使用的资金，或项目已完成等产生的结余资金。 </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九、基本支出：</w:t>
      </w:r>
      <w:r>
        <w:rPr>
          <w:rFonts w:hint="eastAsia" w:ascii="仿宋" w:hAnsi="仿宋" w:eastAsia="仿宋" w:cs="仿宋"/>
          <w:kern w:val="0"/>
          <w:sz w:val="32"/>
          <w:szCs w:val="32"/>
          <w:shd w:val="clear" w:fill="FFFFFF"/>
        </w:rPr>
        <w:t xml:space="preserve">指为保障机构正常运转、完成日常工作任务而发生的人员支出和公用支出。 </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十、项目支出：</w:t>
      </w:r>
      <w:r>
        <w:rPr>
          <w:rFonts w:hint="eastAsia" w:ascii="仿宋" w:hAnsi="仿宋" w:eastAsia="仿宋" w:cs="仿宋"/>
          <w:kern w:val="0"/>
          <w:sz w:val="32"/>
          <w:szCs w:val="32"/>
          <w:shd w:val="clear" w:fill="FFFFFF"/>
        </w:rPr>
        <w:t xml:space="preserve">指在基本支出之外为完成特定行政任务和事业发展目标所发生的支出。 </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十一、经营支出：</w:t>
      </w:r>
      <w:r>
        <w:rPr>
          <w:rFonts w:hint="eastAsia" w:ascii="仿宋" w:hAnsi="仿宋" w:eastAsia="仿宋" w:cs="仿宋"/>
          <w:kern w:val="0"/>
          <w:sz w:val="32"/>
          <w:szCs w:val="32"/>
          <w:shd w:val="clear" w:fill="FFFFFF"/>
        </w:rPr>
        <w:t xml:space="preserve">指事业单位在专业业务活动及其辅助活动之外开展非独立核算经营活动发生的支出。 </w:t>
      </w:r>
    </w:p>
    <w:p>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十二、“三公”经费：</w:t>
      </w:r>
      <w:r>
        <w:rPr>
          <w:rFonts w:hint="eastAsia" w:ascii="仿宋" w:hAnsi="仿宋" w:eastAsia="仿宋" w:cs="仿宋"/>
          <w:kern w:val="0"/>
          <w:sz w:val="32"/>
          <w:szCs w:val="32"/>
          <w:shd w:val="clear" w:fill="FFFFFF"/>
        </w:rPr>
        <w:t xml:space="preserve">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hd w:val="clear" w:fill="FFFFFF"/>
        <w:spacing w:before="240" w:beforeAutospacing="0" w:after="240" w:afterAutospacing="0"/>
        <w:ind w:left="0" w:right="0" w:firstLine="643"/>
        <w:rPr>
          <w:rFonts w:hint="eastAsia" w:ascii="仿宋" w:hAnsi="仿宋" w:eastAsia="仿宋" w:cs="仿宋"/>
          <w:kern w:val="0"/>
          <w:sz w:val="32"/>
          <w:szCs w:val="32"/>
          <w:shd w:val="clear" w:fill="FFFFFF"/>
        </w:rPr>
      </w:pPr>
      <w:r>
        <w:rPr>
          <w:rFonts w:hint="eastAsia" w:ascii="仿宋" w:hAnsi="仿宋" w:eastAsia="仿宋" w:cs="仿宋"/>
          <w:b/>
          <w:bCs/>
          <w:color w:val="000000"/>
          <w:kern w:val="0"/>
          <w:sz w:val="32"/>
          <w:szCs w:val="32"/>
          <w:shd w:val="clear" w:fill="FFFFFF"/>
        </w:rPr>
        <w:t>十三、机关运行经费：</w:t>
      </w:r>
      <w:r>
        <w:rPr>
          <w:rFonts w:hint="eastAsia" w:ascii="仿宋" w:hAnsi="仿宋" w:eastAsia="仿宋" w:cs="仿宋"/>
          <w:color w:val="000000"/>
          <w:kern w:val="0"/>
          <w:sz w:val="32"/>
          <w:szCs w:val="32"/>
          <w:shd w:val="clear" w:fill="FFFFFF"/>
        </w:rPr>
        <w:t>为保障行政单位（含参照公务员法管理的事业单位）运行用于购买货物和服务的各项资金，包括办公及印刷费、邮电费、差旅费、会议</w:t>
      </w:r>
      <w:r>
        <w:rPr>
          <w:rFonts w:hint="eastAsia" w:ascii="仿宋" w:hAnsi="仿宋" w:eastAsia="仿宋" w:cs="仿宋"/>
          <w:kern w:val="0"/>
          <w:sz w:val="32"/>
          <w:szCs w:val="32"/>
          <w:shd w:val="clear" w:fill="FFFFFF"/>
        </w:rPr>
        <w:t>费、福利费、日常维修费、专用材料及一般设备购置费、办公用房水电费、办公用房取暖费、办公用房物业管理费、公务用车运行维护费以及其他费用。</w:t>
      </w:r>
    </w:p>
    <w:p>
      <w:pPr>
        <w:shd w:val="clear" w:fill="FFFFFF"/>
        <w:spacing w:before="240" w:beforeAutospacing="0" w:after="240" w:afterAutospacing="0"/>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r>
        <w:rPr>
          <w:rFonts w:hint="eastAsia" w:ascii="黑体" w:hAnsi="宋体" w:eastAsia="黑体" w:cs="黑体"/>
          <w:kern w:val="0"/>
          <w:sz w:val="36"/>
          <w:szCs w:val="36"/>
          <w:shd w:val="clear" w:fill="FFFFFF"/>
        </w:rPr>
        <w:t>第五部分 附件（部门）</w:t>
      </w:r>
    </w:p>
    <w:p>
      <w:pPr>
        <w:shd w:val="clear" w:fill="FFFFFF"/>
        <w:spacing w:before="240" w:beforeAutospacing="0" w:after="240" w:afterAutospacing="0" w:line="600" w:lineRule="atLeast"/>
        <w:ind w:left="0" w:right="0" w:firstLine="640"/>
        <w:outlineLvl w:val="1"/>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一、《市级部门（单位）整体支出绩效自评表》</w:t>
      </w:r>
    </w:p>
    <w:tbl>
      <w:tblPr>
        <w:tblStyle w:val="15"/>
        <w:tblW w:w="9960" w:type="dxa"/>
        <w:tblInd w:w="135" w:type="dxa"/>
        <w:shd w:val="clear" w:color="auto" w:fill="auto"/>
        <w:tblLayout w:type="fixed"/>
        <w:tblCellMar>
          <w:top w:w="0" w:type="dxa"/>
          <w:left w:w="108" w:type="dxa"/>
          <w:bottom w:w="0" w:type="dxa"/>
          <w:right w:w="108" w:type="dxa"/>
        </w:tblCellMar>
      </w:tblPr>
      <w:tblGrid>
        <w:gridCol w:w="870"/>
        <w:gridCol w:w="1065"/>
        <w:gridCol w:w="1080"/>
        <w:gridCol w:w="1155"/>
        <w:gridCol w:w="1455"/>
        <w:gridCol w:w="1185"/>
        <w:gridCol w:w="1095"/>
        <w:gridCol w:w="1170"/>
        <w:gridCol w:w="885"/>
      </w:tblGrid>
      <w:tr>
        <w:tblPrEx>
          <w:shd w:val="clear" w:color="auto" w:fill="auto"/>
          <w:tblLayout w:type="fixed"/>
          <w:tblCellMar>
            <w:top w:w="0" w:type="dxa"/>
            <w:left w:w="108" w:type="dxa"/>
            <w:bottom w:w="0" w:type="dxa"/>
            <w:right w:w="108" w:type="dxa"/>
          </w:tblCellMar>
        </w:tblPrEx>
        <w:trPr>
          <w:trHeight w:val="450" w:hRule="atLeast"/>
        </w:trPr>
        <w:tc>
          <w:tcPr>
            <w:tcW w:w="996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rPr>
            </w:pPr>
            <w:r>
              <w:rPr>
                <w:rFonts w:hint="eastAsia" w:ascii="宋体" w:hAnsi="宋体" w:eastAsia="宋体" w:cs="宋体"/>
                <w:b/>
                <w:bCs/>
                <w:i w:val="0"/>
                <w:iCs w:val="0"/>
                <w:color w:val="000000"/>
                <w:kern w:val="0"/>
                <w:sz w:val="32"/>
                <w:szCs w:val="32"/>
              </w:rPr>
              <w:t>部门（单位）整体支出绩效目标表</w:t>
            </w:r>
          </w:p>
        </w:tc>
      </w:tr>
      <w:tr>
        <w:tblPrEx>
          <w:tblLayout w:type="fixed"/>
          <w:tblCellMar>
            <w:top w:w="0" w:type="dxa"/>
            <w:left w:w="108" w:type="dxa"/>
            <w:bottom w:w="0" w:type="dxa"/>
            <w:right w:w="108" w:type="dxa"/>
          </w:tblCellMar>
        </w:tblPrEx>
        <w:trPr>
          <w:trHeight w:val="285" w:hRule="atLeast"/>
        </w:trPr>
        <w:tc>
          <w:tcPr>
            <w:tcW w:w="870"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1065"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1155"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145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Style w:val="36"/>
                <w:rFonts w:hint="eastAsia" w:ascii="宋体" w:hAnsi="宋体" w:eastAsia="宋体" w:cs="宋体"/>
                <w:i w:val="0"/>
                <w:iCs w:val="0"/>
                <w:color w:val="000000"/>
                <w:sz w:val="20"/>
                <w:szCs w:val="20"/>
              </w:rPr>
              <w:t>（</w:t>
            </w:r>
            <w:r>
              <w:rPr>
                <w:rStyle w:val="43"/>
                <w:rFonts w:hint="default" w:ascii="Times New Roman" w:hAnsi="Times New Roman" w:eastAsia="宋体" w:cs="Times New Roman"/>
                <w:i w:val="0"/>
                <w:iCs w:val="0"/>
                <w:color w:val="000000"/>
                <w:sz w:val="20"/>
                <w:szCs w:val="20"/>
              </w:rPr>
              <w:t>2020</w:t>
            </w:r>
            <w:r>
              <w:rPr>
                <w:rStyle w:val="36"/>
                <w:rFonts w:hint="eastAsia" w:ascii="宋体" w:hAnsi="宋体" w:eastAsia="宋体" w:cs="宋体"/>
                <w:i w:val="0"/>
                <w:iCs w:val="0"/>
                <w:color w:val="000000"/>
                <w:sz w:val="20"/>
                <w:szCs w:val="20"/>
              </w:rPr>
              <w:t>年度）</w:t>
            </w:r>
          </w:p>
        </w:tc>
        <w:tc>
          <w:tcPr>
            <w:tcW w:w="1185"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1095"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1170" w:type="dxa"/>
            <w:tcBorders>
              <w:top w:val="nil"/>
              <w:left w:val="nil"/>
              <w:bottom w:val="nil"/>
              <w:right w:val="nil"/>
            </w:tcBorders>
            <w:shd w:val="clear" w:color="auto" w:fill="auto"/>
            <w:vAlign w:val="center"/>
          </w:tcPr>
          <w:p>
            <w:pPr>
              <w:rPr>
                <w:rFonts w:hint="eastAsia" w:ascii="宋体" w:hAnsi="宋体" w:eastAsia="宋体" w:cs="宋体"/>
                <w:i w:val="0"/>
                <w:iCs w:val="0"/>
                <w:color w:val="000000"/>
                <w:kern w:val="0"/>
                <w:sz w:val="20"/>
                <w:szCs w:val="20"/>
              </w:rPr>
            </w:pPr>
          </w:p>
        </w:tc>
        <w:tc>
          <w:tcPr>
            <w:tcW w:w="885"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单位：万元</w:t>
            </w:r>
          </w:p>
        </w:tc>
      </w:tr>
      <w:tr>
        <w:tblPrEx>
          <w:tblLayout w:type="fixed"/>
          <w:tblCellMar>
            <w:top w:w="0" w:type="dxa"/>
            <w:left w:w="108" w:type="dxa"/>
            <w:bottom w:w="0" w:type="dxa"/>
            <w:right w:w="108" w:type="dxa"/>
          </w:tblCellMar>
        </w:tblPrEx>
        <w:trPr>
          <w:trHeight w:val="52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单位名称</w:t>
            </w:r>
          </w:p>
        </w:tc>
        <w:tc>
          <w:tcPr>
            <w:tcW w:w="9090"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厦门市人民政府国有资产监督管理委员会</w:t>
            </w:r>
          </w:p>
        </w:tc>
      </w:tr>
      <w:tr>
        <w:tblPrEx>
          <w:tblLayout w:type="fixed"/>
          <w:tblCellMar>
            <w:top w:w="0" w:type="dxa"/>
            <w:left w:w="108" w:type="dxa"/>
            <w:bottom w:w="0" w:type="dxa"/>
            <w:right w:w="108" w:type="dxa"/>
          </w:tblCellMar>
        </w:tblPrEx>
        <w:trPr>
          <w:trHeight w:val="645" w:hRule="atLeast"/>
        </w:trPr>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预算金额</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支出结构</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资金总额</w:t>
            </w:r>
          </w:p>
        </w:tc>
        <w:tc>
          <w:tcPr>
            <w:tcW w:w="1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其中：财政资金</w:t>
            </w:r>
          </w:p>
        </w:tc>
        <w:tc>
          <w:tcPr>
            <w:tcW w:w="145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投入计划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支出结构</w:t>
            </w:r>
          </w:p>
        </w:tc>
        <w:tc>
          <w:tcPr>
            <w:tcW w:w="10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资金总额</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其中：财政资金</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投入计划</w:t>
            </w:r>
          </w:p>
        </w:tc>
      </w:tr>
      <w:tr>
        <w:tblPrEx>
          <w:tblLayout w:type="fixed"/>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人员支出</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3,060.33</w:t>
            </w:r>
          </w:p>
        </w:tc>
        <w:tc>
          <w:tcPr>
            <w:tcW w:w="1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3,060.33</w:t>
            </w:r>
          </w:p>
        </w:tc>
        <w:tc>
          <w:tcPr>
            <w:tcW w:w="145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第一季度25%，第二季度25%，第三季度25%，第四季度25%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基建项目</w:t>
            </w:r>
          </w:p>
        </w:tc>
        <w:tc>
          <w:tcPr>
            <w:tcW w:w="1095"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0"/>
                <w:szCs w:val="20"/>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0"/>
                <w:szCs w:val="20"/>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公用支出</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296.86</w:t>
            </w:r>
          </w:p>
        </w:tc>
        <w:tc>
          <w:tcPr>
            <w:tcW w:w="1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296.86</w:t>
            </w:r>
          </w:p>
        </w:tc>
        <w:tc>
          <w:tcPr>
            <w:tcW w:w="145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第一季度25%，第二季度25%，第三季度25%，第四季度25%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事业单位经营支出</w:t>
            </w:r>
          </w:p>
        </w:tc>
        <w:tc>
          <w:tcPr>
            <w:tcW w:w="1095"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0"/>
                <w:szCs w:val="20"/>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0"/>
                <w:szCs w:val="20"/>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部门专项</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335.00</w:t>
            </w:r>
          </w:p>
        </w:tc>
        <w:tc>
          <w:tcPr>
            <w:tcW w:w="1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335.00</w:t>
            </w:r>
          </w:p>
        </w:tc>
        <w:tc>
          <w:tcPr>
            <w:tcW w:w="145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第一季度25%，第二季度25%，第三季度25%，第四季度25%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市对区转移支付支出</w:t>
            </w:r>
          </w:p>
        </w:tc>
        <w:tc>
          <w:tcPr>
            <w:tcW w:w="1095"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0"/>
                <w:szCs w:val="20"/>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20"/>
                <w:szCs w:val="20"/>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发展经费</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2,815.00</w:t>
            </w:r>
          </w:p>
        </w:tc>
        <w:tc>
          <w:tcPr>
            <w:tcW w:w="1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2,815.00</w:t>
            </w:r>
          </w:p>
        </w:tc>
        <w:tc>
          <w:tcPr>
            <w:tcW w:w="145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第一季度20%，第二季度20%，第三季度30%，第四季度30%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合计</w:t>
            </w:r>
          </w:p>
        </w:tc>
        <w:tc>
          <w:tcPr>
            <w:tcW w:w="10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6,507.19</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6,507.19</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绩效目标</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年度工作任务</w:t>
            </w: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绩效指标</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目标值</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涉及项目</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涉及财政资金</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备注</w:t>
            </w: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1.做好国企财务监管和培训工作</w:t>
            </w:r>
          </w:p>
        </w:tc>
        <w:tc>
          <w:tcPr>
            <w:tcW w:w="223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举办国企财务管理培训场次</w:t>
            </w:r>
          </w:p>
        </w:tc>
        <w:tc>
          <w:tcPr>
            <w:tcW w:w="14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≥3场</w:t>
            </w:r>
          </w:p>
        </w:tc>
        <w:tc>
          <w:tcPr>
            <w:tcW w:w="228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财务监管和产权管理网络版系统32万元；      </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厦门国资委企业安全生产监管平台38万元；</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专项业务费35万元。</w:t>
            </w:r>
          </w:p>
        </w:tc>
        <w:tc>
          <w:tcPr>
            <w:tcW w:w="11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105.00 </w:t>
            </w:r>
          </w:p>
        </w:tc>
        <w:tc>
          <w:tcPr>
            <w:tcW w:w="885" w:type="dxa"/>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45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80" w:type="dxa"/>
            <w:gridSpan w:val="2"/>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981"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对国企进行财务报告审查、财务决算统计、监督管理、投资监管等评审的国企家次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≥3家</w:t>
            </w:r>
          </w:p>
        </w:tc>
        <w:tc>
          <w:tcPr>
            <w:tcW w:w="2280" w:type="dxa"/>
            <w:gridSpan w:val="2"/>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72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为企业提供在线报送服务和企业分析评价等服务的企业家次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≥19家</w:t>
            </w:r>
          </w:p>
        </w:tc>
        <w:tc>
          <w:tcPr>
            <w:tcW w:w="2280" w:type="dxa"/>
            <w:gridSpan w:val="2"/>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2.监督所监管企业资产保值增值和内控体系</w:t>
            </w: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对部分国有企业资产质量审计的国企家次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≥12家</w:t>
            </w:r>
          </w:p>
        </w:tc>
        <w:tc>
          <w:tcPr>
            <w:tcW w:w="2280" w:type="dxa"/>
            <w:gridSpan w:val="2"/>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专项业务费110万元，主要用于国资监管专项业务经费，国资系统宣传教育精神文明建设经费，专项审计经费。</w:t>
            </w:r>
          </w:p>
        </w:tc>
        <w:tc>
          <w:tcPr>
            <w:tcW w:w="117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300.00 </w:t>
            </w:r>
          </w:p>
        </w:tc>
        <w:tc>
          <w:tcPr>
            <w:tcW w:w="885"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对部分国有企业进行内控制度体系检查的国企家次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≥12家</w:t>
            </w:r>
          </w:p>
        </w:tc>
        <w:tc>
          <w:tcPr>
            <w:tcW w:w="2280" w:type="dxa"/>
            <w:gridSpan w:val="2"/>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对境外企业进行审计的国企家次</w:t>
            </w:r>
          </w:p>
        </w:tc>
        <w:tc>
          <w:tcPr>
            <w:tcW w:w="145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≥1家</w:t>
            </w:r>
          </w:p>
        </w:tc>
        <w:tc>
          <w:tcPr>
            <w:tcW w:w="2280" w:type="dxa"/>
            <w:gridSpan w:val="2"/>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nil"/>
              <w:left w:val="nil"/>
              <w:bottom w:val="nil"/>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3.安全、有序地做好厦门北站综合交通枢纽运营管理工作</w:t>
            </w: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全年设备安全运行率</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95%</w:t>
            </w:r>
          </w:p>
        </w:tc>
        <w:tc>
          <w:tcPr>
            <w:tcW w:w="228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厦门北站物业管理费补助2304万元</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2,304.00 </w:t>
            </w:r>
          </w:p>
        </w:tc>
        <w:tc>
          <w:tcPr>
            <w:tcW w:w="885"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rPr>
            </w:pPr>
          </w:p>
        </w:tc>
      </w:tr>
      <w:tr>
        <w:tblPrEx>
          <w:tblLayout w:type="fixed"/>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窗口服务满意度</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w:t>
            </w:r>
          </w:p>
        </w:tc>
        <w:tc>
          <w:tcPr>
            <w:tcW w:w="228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Layout w:type="fixed"/>
          <w:tblCellMar>
            <w:top w:w="0" w:type="dxa"/>
            <w:left w:w="108" w:type="dxa"/>
            <w:bottom w:w="0" w:type="dxa"/>
            <w:right w:w="108" w:type="dxa"/>
          </w:tblCellMar>
        </w:tblPrEx>
        <w:trPr>
          <w:trHeight w:val="42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重大责任事故</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FFFF"/>
                <w:kern w:val="0"/>
                <w:sz w:val="22"/>
                <w:szCs w:val="22"/>
              </w:rPr>
            </w:pPr>
            <w:r>
              <w:rPr>
                <w:rStyle w:val="21"/>
                <w:rFonts w:hint="eastAsia" w:ascii="宋体" w:hAnsi="宋体" w:eastAsia="宋体" w:cs="宋体"/>
                <w:i w:val="0"/>
                <w:iCs w:val="0"/>
                <w:color w:val="000000"/>
                <w:sz w:val="22"/>
                <w:szCs w:val="22"/>
              </w:rPr>
              <w:t>0</w:t>
            </w:r>
            <w:r>
              <w:rPr>
                <w:rStyle w:val="19"/>
                <w:rFonts w:hint="eastAsia" w:ascii="宋体" w:hAnsi="宋体" w:eastAsia="宋体" w:cs="宋体"/>
                <w:i w:val="0"/>
                <w:iCs w:val="0"/>
                <w:color w:val="FFFFFF"/>
                <w:sz w:val="22"/>
                <w:szCs w:val="22"/>
              </w:rPr>
              <w:t>'</w:t>
            </w:r>
          </w:p>
        </w:tc>
        <w:tc>
          <w:tcPr>
            <w:tcW w:w="228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bl>
    <w:p>
      <w:pPr>
        <w:pStyle w:val="2"/>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二、《市级部门（单位）一级项目支出绩效自评表》</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5"/>
        <w:tblW w:w="8830" w:type="dxa"/>
        <w:tblInd w:w="93" w:type="dxa"/>
        <w:shd w:val="clear" w:color="auto" w:fill="auto"/>
        <w:tblLayout w:type="fixed"/>
        <w:tblCellMar>
          <w:top w:w="0" w:type="dxa"/>
          <w:left w:w="108" w:type="dxa"/>
          <w:bottom w:w="0" w:type="dxa"/>
          <w:right w:w="108" w:type="dxa"/>
        </w:tblCellMar>
      </w:tblPr>
      <w:tblGrid>
        <w:gridCol w:w="1170"/>
        <w:gridCol w:w="1555"/>
        <w:gridCol w:w="2015"/>
        <w:gridCol w:w="1425"/>
        <w:gridCol w:w="2665"/>
      </w:tblGrid>
      <w:tr>
        <w:tblPrEx>
          <w:shd w:val="clear" w:color="auto" w:fill="auto"/>
          <w:tblLayout w:type="fixed"/>
          <w:tblCellMar>
            <w:top w:w="0" w:type="dxa"/>
            <w:left w:w="108" w:type="dxa"/>
            <w:bottom w:w="0" w:type="dxa"/>
            <w:right w:w="108" w:type="dxa"/>
          </w:tblCellMar>
        </w:tblPrEx>
        <w:trPr>
          <w:trHeight w:val="315" w:hRule="atLeast"/>
        </w:trPr>
        <w:tc>
          <w:tcPr>
            <w:tcW w:w="883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rPr>
            </w:pPr>
            <w:r>
              <w:rPr>
                <w:rFonts w:hint="eastAsia" w:ascii="宋体" w:hAnsi="宋体" w:eastAsia="宋体" w:cs="宋体"/>
                <w:b/>
                <w:bCs/>
                <w:i w:val="0"/>
                <w:iCs w:val="0"/>
                <w:color w:val="000000"/>
                <w:kern w:val="0"/>
                <w:sz w:val="32"/>
                <w:szCs w:val="32"/>
              </w:rPr>
              <w:t>国有企业公共服务补助资金项目绩效目标表</w:t>
            </w:r>
          </w:p>
        </w:tc>
      </w:tr>
      <w:tr>
        <w:tblPrEx>
          <w:tblLayout w:type="fixed"/>
          <w:tblCellMar>
            <w:top w:w="0" w:type="dxa"/>
            <w:left w:w="108" w:type="dxa"/>
            <w:bottom w:w="0" w:type="dxa"/>
            <w:right w:w="108" w:type="dxa"/>
          </w:tblCellMar>
        </w:tblPrEx>
        <w:trPr>
          <w:trHeight w:val="660" w:hRule="atLeast"/>
        </w:trPr>
        <w:tc>
          <w:tcPr>
            <w:tcW w:w="8830"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rPr>
            </w:pPr>
            <w:r>
              <w:rPr>
                <w:rFonts w:hint="eastAsia" w:ascii="宋体" w:hAnsi="宋体" w:eastAsia="宋体" w:cs="宋体"/>
                <w:b/>
                <w:bCs/>
                <w:i w:val="0"/>
                <w:iCs w:val="0"/>
                <w:color w:val="000000"/>
                <w:kern w:val="0"/>
                <w:sz w:val="24"/>
                <w:szCs w:val="24"/>
              </w:rPr>
              <w:t>（2020年）</w:t>
            </w:r>
          </w:p>
        </w:tc>
      </w:tr>
      <w:tr>
        <w:tblPrEx>
          <w:tblLayout w:type="fixed"/>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项目名称</w:t>
            </w:r>
          </w:p>
        </w:tc>
        <w:tc>
          <w:tcPr>
            <w:tcW w:w="357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国有企业公共服务补助资金</w:t>
            </w:r>
          </w:p>
        </w:tc>
        <w:tc>
          <w:tcPr>
            <w:tcW w:w="14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实施期限</w:t>
            </w:r>
          </w:p>
        </w:tc>
        <w:tc>
          <w:tcPr>
            <w:tcW w:w="2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当年</w:t>
            </w:r>
          </w:p>
        </w:tc>
      </w:tr>
      <w:tr>
        <w:tblPrEx>
          <w:tblLayout w:type="fixed"/>
          <w:tblCellMar>
            <w:top w:w="0" w:type="dxa"/>
            <w:left w:w="108" w:type="dxa"/>
            <w:bottom w:w="0" w:type="dxa"/>
            <w:right w:w="108" w:type="dxa"/>
          </w:tblCellMar>
        </w:tblPrEx>
        <w:trPr>
          <w:trHeight w:val="9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实施单位</w:t>
            </w:r>
          </w:p>
        </w:tc>
        <w:tc>
          <w:tcPr>
            <w:tcW w:w="357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市国资委</w:t>
            </w:r>
          </w:p>
        </w:tc>
        <w:tc>
          <w:tcPr>
            <w:tcW w:w="14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主管部门</w:t>
            </w:r>
          </w:p>
        </w:tc>
        <w:tc>
          <w:tcPr>
            <w:tcW w:w="2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市国资委</w:t>
            </w:r>
          </w:p>
        </w:tc>
      </w:tr>
      <w:tr>
        <w:tblPrEx>
          <w:tblLayout w:type="fixed"/>
          <w:tblCellMar>
            <w:top w:w="0" w:type="dxa"/>
            <w:left w:w="108" w:type="dxa"/>
            <w:bottom w:w="0" w:type="dxa"/>
            <w:right w:w="108" w:type="dxa"/>
          </w:tblCellMar>
        </w:tblPrEx>
        <w:trPr>
          <w:trHeight w:val="990" w:hRule="atLeast"/>
        </w:trPr>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总目标</w:t>
            </w:r>
          </w:p>
        </w:tc>
        <w:tc>
          <w:tcPr>
            <w:tcW w:w="766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1.厦门北站综合交通枢纽配套管理资产运营正常。</w:t>
            </w:r>
          </w:p>
        </w:tc>
      </w:tr>
      <w:tr>
        <w:tblPrEx>
          <w:tblLayout w:type="fixed"/>
          <w:tblCellMar>
            <w:top w:w="0" w:type="dxa"/>
            <w:left w:w="108" w:type="dxa"/>
            <w:bottom w:w="0" w:type="dxa"/>
            <w:right w:w="108" w:type="dxa"/>
          </w:tblCellMar>
        </w:tblPrEx>
        <w:trPr>
          <w:trHeight w:val="99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66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2.保障厦门北站综合交通枢纽配套公共服务安全有序。</w:t>
            </w:r>
          </w:p>
        </w:tc>
      </w:tr>
      <w:tr>
        <w:tblPrEx>
          <w:tblLayout w:type="fixed"/>
          <w:tblCellMar>
            <w:top w:w="0" w:type="dxa"/>
            <w:left w:w="108" w:type="dxa"/>
            <w:bottom w:w="0" w:type="dxa"/>
            <w:right w:w="108" w:type="dxa"/>
          </w:tblCellMar>
        </w:tblPrEx>
        <w:trPr>
          <w:trHeight w:val="67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766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3.做好驻港联络事项。</w:t>
            </w:r>
          </w:p>
        </w:tc>
      </w:tr>
      <w:tr>
        <w:tblPrEx>
          <w:tblLayout w:type="fixed"/>
          <w:tblCellMar>
            <w:top w:w="0" w:type="dxa"/>
            <w:left w:w="108" w:type="dxa"/>
            <w:bottom w:w="0" w:type="dxa"/>
            <w:right w:w="108" w:type="dxa"/>
          </w:tblCellMar>
        </w:tblPrEx>
        <w:trPr>
          <w:trHeight w:val="1350" w:hRule="atLeast"/>
        </w:trPr>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投入目标</w:t>
            </w: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预算资金</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2745万元</w:t>
            </w:r>
          </w:p>
        </w:tc>
        <w:tc>
          <w:tcPr>
            <w:tcW w:w="14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其中,财政拨款数</w:t>
            </w:r>
          </w:p>
        </w:tc>
        <w:tc>
          <w:tcPr>
            <w:tcW w:w="2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2745万元</w:t>
            </w:r>
          </w:p>
        </w:tc>
      </w:tr>
      <w:tr>
        <w:tblPrEx>
          <w:tblLayout w:type="fixed"/>
          <w:tblCellMar>
            <w:top w:w="0" w:type="dxa"/>
            <w:left w:w="108" w:type="dxa"/>
            <w:bottom w:w="0" w:type="dxa"/>
            <w:right w:w="108" w:type="dxa"/>
          </w:tblCellMar>
        </w:tblPrEx>
        <w:trPr>
          <w:trHeight w:val="250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资金使用范围</w:t>
            </w:r>
          </w:p>
        </w:tc>
        <w:tc>
          <w:tcPr>
            <w:tcW w:w="61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1.厦门北站物业管理费补助，主要用于补助厦门北站日常运行经费、一次性专项技术改造费用支出。</w:t>
            </w:r>
            <w:r>
              <w:rPr>
                <w:rFonts w:hint="eastAsia" w:ascii="宋体" w:hAnsi="宋体" w:eastAsia="宋体" w:cs="宋体"/>
                <w:i w:val="0"/>
                <w:iCs w:val="0"/>
                <w:color w:val="000000"/>
                <w:kern w:val="0"/>
                <w:sz w:val="22"/>
                <w:szCs w:val="22"/>
              </w:rPr>
              <w:br w:type="textWrapping"/>
            </w:r>
            <w:r>
              <w:rPr>
                <w:rFonts w:hint="eastAsia" w:ascii="宋体" w:hAnsi="宋体" w:eastAsia="宋体" w:cs="宋体"/>
                <w:i w:val="0"/>
                <w:iCs w:val="0"/>
                <w:color w:val="000000"/>
                <w:kern w:val="0"/>
                <w:sz w:val="22"/>
                <w:szCs w:val="22"/>
              </w:rPr>
              <w:t>2.职教幼教补助，主要用于按我市国有企业职教退休人员的数量、职称标准扣除相应的省、市退休金标准后给予的我市国有企业职教退休人员政策性补助。</w:t>
            </w:r>
            <w:r>
              <w:rPr>
                <w:rFonts w:hint="eastAsia" w:ascii="宋体" w:hAnsi="宋体" w:eastAsia="宋体" w:cs="宋体"/>
                <w:i w:val="0"/>
                <w:iCs w:val="0"/>
                <w:color w:val="000000"/>
                <w:kern w:val="0"/>
                <w:sz w:val="22"/>
                <w:szCs w:val="22"/>
              </w:rPr>
              <w:br w:type="textWrapping"/>
            </w:r>
            <w:r>
              <w:rPr>
                <w:rFonts w:hint="eastAsia" w:ascii="宋体" w:hAnsi="宋体" w:eastAsia="宋体" w:cs="宋体"/>
                <w:i w:val="0"/>
                <w:iCs w:val="0"/>
                <w:color w:val="000000"/>
                <w:kern w:val="0"/>
                <w:sz w:val="22"/>
                <w:szCs w:val="22"/>
              </w:rPr>
              <w:t>3.中厦公司驻港工作经费，主要用于驻港联络处来港过境联络、企业教育、培训、会议等活动费用补助支出。</w:t>
            </w:r>
          </w:p>
        </w:tc>
      </w:tr>
      <w:tr>
        <w:tblPrEx>
          <w:tblLayout w:type="fixed"/>
          <w:tblCellMar>
            <w:top w:w="0" w:type="dxa"/>
            <w:left w:w="108" w:type="dxa"/>
            <w:bottom w:w="0" w:type="dxa"/>
            <w:right w:w="108" w:type="dxa"/>
          </w:tblCellMar>
        </w:tblPrEx>
        <w:trPr>
          <w:trHeight w:val="74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资金投入计划</w:t>
            </w:r>
          </w:p>
        </w:tc>
        <w:tc>
          <w:tcPr>
            <w:tcW w:w="61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第一季度25%，第二季度25%，第三季度25%，第四季度25%</w:t>
            </w:r>
          </w:p>
        </w:tc>
      </w:tr>
      <w:tr>
        <w:tblPrEx>
          <w:tblLayout w:type="fixed"/>
          <w:tblCellMar>
            <w:top w:w="0" w:type="dxa"/>
            <w:left w:w="108" w:type="dxa"/>
            <w:bottom w:w="0" w:type="dxa"/>
            <w:right w:w="108" w:type="dxa"/>
          </w:tblCellMar>
        </w:tblPrEx>
        <w:trPr>
          <w:trHeight w:val="585" w:hRule="atLeast"/>
        </w:trPr>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绩效指标</w:t>
            </w: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指标类别</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具体指标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目标值</w:t>
            </w:r>
          </w:p>
        </w:tc>
      </w:tr>
      <w:tr>
        <w:tblPrEx>
          <w:tblLayout w:type="fixed"/>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产出指标1</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北站绿化养护达标率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r>
      <w:tr>
        <w:tblPrEx>
          <w:tblLayout w:type="fixed"/>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产出指标2</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北站安全责任事故</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rPr>
            </w:pPr>
          </w:p>
        </w:tc>
      </w:tr>
      <w:tr>
        <w:tblPrEx>
          <w:tblLayout w:type="fixed"/>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产出指标3</w:t>
            </w:r>
          </w:p>
        </w:tc>
        <w:tc>
          <w:tcPr>
            <w:tcW w:w="201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全年设备安全运行率</w:t>
            </w:r>
          </w:p>
        </w:tc>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r>
      <w:tr>
        <w:tblPrEx>
          <w:tblLayout w:type="fixed"/>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产出指标4</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驻港办协助办理事项、联络次数</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r>
      <w:tr>
        <w:tblPrEx>
          <w:tblLayout w:type="fixed"/>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产出指标5</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北站设施设备完好率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r>
      <w:tr>
        <w:tblPrEx>
          <w:tblLayout w:type="fixed"/>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指标类别</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具体指标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目标值</w:t>
            </w:r>
          </w:p>
        </w:tc>
      </w:tr>
      <w:tr>
        <w:tblPrEx>
          <w:tblLayout w:type="fixed"/>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效益指标1</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提升旅客便捷度</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有效提升</w:t>
            </w:r>
          </w:p>
        </w:tc>
      </w:tr>
      <w:tr>
        <w:tblPrEx>
          <w:tblLayout w:type="fixed"/>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效益指标2</w:t>
            </w:r>
          </w:p>
        </w:tc>
        <w:tc>
          <w:tcPr>
            <w:tcW w:w="201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窗口服务满意度</w:t>
            </w:r>
          </w:p>
        </w:tc>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r>
      <w:tr>
        <w:tblPrEx>
          <w:tblLayout w:type="fixed"/>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效益指标3</w:t>
            </w:r>
          </w:p>
        </w:tc>
        <w:tc>
          <w:tcPr>
            <w:tcW w:w="20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驻港办服务对象满意度</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w:t>
            </w:r>
          </w:p>
        </w:tc>
      </w:tr>
    </w:tbl>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headerReference r:id="rId5" w:type="default"/>
      <w:footerReference r:id="rId6" w:type="default"/>
      <w:pgSz w:w="11915" w:h="16851"/>
      <w:pgMar w:top="1440" w:right="1800" w:bottom="1440" w:left="1800"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宋体" w:hAnsi="宋体" w:eastAsia="宋体" w:cs="宋体"/>
        <w:kern w:val="0"/>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cs="宋体"/>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2C51"/>
    <w:rsid w:val="087E6871"/>
    <w:rsid w:val="0C34728D"/>
    <w:rsid w:val="2BD61428"/>
    <w:rsid w:val="35C67743"/>
    <w:rsid w:val="77F6728C"/>
    <w:rsid w:val="79D72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4">
    <w:name w:val="Default Paragraph Font"/>
    <w:semiHidden/>
    <w:unhideWhenUsed/>
    <w:qFormat/>
    <w:uiPriority w:val="99"/>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1.正文"/>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9">
    <w:name w:val="Document Map"/>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footer"/>
    <w:basedOn w:val="1"/>
    <w:qFormat/>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1">
    <w:name w:val="header"/>
    <w:basedOn w:val="1"/>
    <w:qFormat/>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1"/>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4"/>
    <w:qFormat/>
    <w:uiPriority w:val="0"/>
    <w:rPr>
      <w:rFonts w:hint="default" w:ascii="Times New Roman" w:hAnsi="Times New Roman" w:cs="Times New Roman"/>
    </w:rPr>
  </w:style>
  <w:style w:type="character" w:customStyle="1" w:styleId="18">
    <w:name w:val="16"/>
    <w:basedOn w:val="14"/>
    <w:qFormat/>
    <w:uiPriority w:val="0"/>
    <w:rPr>
      <w:rFonts w:hint="default" w:ascii="Times New Roman" w:hAnsi="Times New Roman" w:cs="Times New Roman"/>
    </w:rPr>
  </w:style>
  <w:style w:type="character" w:customStyle="1" w:styleId="19">
    <w:name w:val="17"/>
    <w:basedOn w:val="14"/>
    <w:qFormat/>
    <w:uiPriority w:val="0"/>
    <w:rPr>
      <w:rFonts w:hint="eastAsia" w:ascii="宋体" w:hAnsi="宋体" w:eastAsia="宋体" w:cs="宋体"/>
      <w:color w:val="FFFFFF"/>
      <w:sz w:val="22"/>
      <w:szCs w:val="22"/>
    </w:rPr>
  </w:style>
  <w:style w:type="paragraph" w:customStyle="1" w:styleId="20">
    <w:name w:val="HTML 预设格式 Char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1">
    <w:name w:val="36"/>
    <w:basedOn w:val="14"/>
    <w:qFormat/>
    <w:uiPriority w:val="0"/>
    <w:rPr>
      <w:rFonts w:hint="eastAsia" w:ascii="宋体" w:hAnsi="宋体" w:eastAsia="宋体" w:cs="宋体"/>
      <w:color w:val="000000"/>
      <w:sz w:val="22"/>
      <w:szCs w:val="22"/>
    </w:rPr>
  </w:style>
  <w:style w:type="character" w:customStyle="1" w:styleId="22">
    <w:name w:val="32"/>
    <w:basedOn w:val="14"/>
    <w:qFormat/>
    <w:uiPriority w:val="0"/>
    <w:rPr>
      <w:rFonts w:hint="default" w:ascii="Times New Roman" w:hAnsi="Times New Roman" w:cs="Times New Roman"/>
    </w:rPr>
  </w:style>
  <w:style w:type="character" w:customStyle="1" w:styleId="23">
    <w:name w:val="15"/>
    <w:basedOn w:val="14"/>
    <w:qFormat/>
    <w:uiPriority w:val="0"/>
    <w:rPr>
      <w:rFonts w:hint="default" w:ascii="Times New Roman" w:hAnsi="Times New Roman" w:cs="Times New Roman"/>
    </w:rPr>
  </w:style>
  <w:style w:type="character" w:customStyle="1" w:styleId="24">
    <w:name w:val="18"/>
    <w:basedOn w:val="14"/>
    <w:qFormat/>
    <w:uiPriority w:val="0"/>
    <w:rPr>
      <w:rFonts w:hint="default" w:ascii="Times New Roman" w:hAnsi="Times New Roman" w:cs="Times New Roman"/>
    </w:rPr>
  </w:style>
  <w:style w:type="character" w:customStyle="1" w:styleId="25">
    <w:name w:val="19"/>
    <w:basedOn w:val="14"/>
    <w:qFormat/>
    <w:uiPriority w:val="0"/>
    <w:rPr>
      <w:rFonts w:hint="default" w:ascii="Times New Roman" w:hAnsi="Times New Roman" w:cs="Times New Roman"/>
    </w:rPr>
  </w:style>
  <w:style w:type="character" w:customStyle="1" w:styleId="26">
    <w:name w:val="34"/>
    <w:basedOn w:val="14"/>
    <w:qFormat/>
    <w:uiPriority w:val="0"/>
    <w:rPr>
      <w:rFonts w:hint="eastAsia" w:ascii="宋体" w:hAnsi="宋体" w:eastAsia="宋体" w:cs="宋体"/>
      <w:color w:val="000000"/>
      <w:sz w:val="20"/>
      <w:szCs w:val="20"/>
    </w:rPr>
  </w:style>
  <w:style w:type="character" w:customStyle="1" w:styleId="27">
    <w:name w:val="20"/>
    <w:basedOn w:val="14"/>
    <w:qFormat/>
    <w:uiPriority w:val="0"/>
    <w:rPr>
      <w:rFonts w:hint="default" w:ascii="Calibri" w:hAnsi="Calibri" w:cs="Calibri"/>
    </w:rPr>
  </w:style>
  <w:style w:type="paragraph" w:customStyle="1" w:styleId="28">
    <w:name w:val="Char"/>
    <w:basedOn w:val="9"/>
    <w:qFormat/>
    <w:uiPriority w:val="0"/>
    <w:pPr>
      <w:keepNext w:val="0"/>
      <w:keepLines w:val="0"/>
      <w:widowControl w:val="0"/>
      <w:suppressLineNumbers w:val="0"/>
      <w:shd w:val="clear" w:fill="000080"/>
      <w:adjustRightInd w:val="0"/>
      <w:spacing w:before="0" w:beforeAutospacing="0" w:after="0" w:afterAutospacing="0" w:line="436" w:lineRule="exact"/>
      <w:ind w:left="357" w:right="0"/>
      <w:jc w:val="left"/>
      <w:outlineLvl w:val="3"/>
    </w:pPr>
    <w:rPr>
      <w:rFonts w:hint="default" w:ascii="Times New Roman" w:hAnsi="Times New Roman" w:eastAsia="宋体" w:cs="Times New Roman"/>
      <w:kern w:val="2"/>
      <w:sz w:val="21"/>
      <w:szCs w:val="21"/>
      <w:lang w:val="en-US" w:eastAsia="zh-CN" w:bidi="ar"/>
    </w:rPr>
  </w:style>
  <w:style w:type="character" w:customStyle="1" w:styleId="29">
    <w:name w:val="21"/>
    <w:basedOn w:val="14"/>
    <w:qFormat/>
    <w:uiPriority w:val="0"/>
    <w:rPr>
      <w:rFonts w:hint="eastAsia" w:ascii="宋体" w:hAnsi="宋体" w:eastAsia="宋体" w:cs="宋体"/>
      <w:sz w:val="18"/>
      <w:szCs w:val="18"/>
    </w:rPr>
  </w:style>
  <w:style w:type="character" w:customStyle="1" w:styleId="30">
    <w:name w:val="22"/>
    <w:basedOn w:val="14"/>
    <w:qFormat/>
    <w:uiPriority w:val="0"/>
    <w:rPr>
      <w:rFonts w:hint="eastAsia" w:ascii="宋体" w:hAnsi="宋体" w:eastAsia="宋体" w:cs="宋体"/>
      <w:sz w:val="18"/>
      <w:szCs w:val="18"/>
    </w:rPr>
  </w:style>
  <w:style w:type="character" w:customStyle="1" w:styleId="31">
    <w:name w:val="23"/>
    <w:basedOn w:val="14"/>
    <w:qFormat/>
    <w:uiPriority w:val="0"/>
    <w:rPr>
      <w:rFonts w:hint="eastAsia" w:ascii="宋体" w:hAnsi="宋体" w:eastAsia="宋体" w:cs="宋体"/>
      <w:b/>
      <w:bCs/>
      <w:sz w:val="28"/>
      <w:szCs w:val="28"/>
    </w:rPr>
  </w:style>
  <w:style w:type="character" w:customStyle="1" w:styleId="32">
    <w:name w:val="24"/>
    <w:basedOn w:val="14"/>
    <w:qFormat/>
    <w:uiPriority w:val="0"/>
    <w:rPr>
      <w:rFonts w:hint="default" w:ascii="Courier New" w:hAnsi="Courier New" w:eastAsia="宋体" w:cs="Courier New"/>
    </w:rPr>
  </w:style>
  <w:style w:type="character" w:customStyle="1" w:styleId="33">
    <w:name w:val="33"/>
    <w:basedOn w:val="14"/>
    <w:qFormat/>
    <w:uiPriority w:val="0"/>
    <w:rPr>
      <w:rFonts w:hint="eastAsia" w:ascii="宋体" w:hAnsi="宋体" w:eastAsia="宋体" w:cs="宋体"/>
      <w:sz w:val="18"/>
      <w:szCs w:val="18"/>
    </w:rPr>
  </w:style>
  <w:style w:type="character" w:customStyle="1" w:styleId="34">
    <w:name w:val="25"/>
    <w:basedOn w:val="14"/>
    <w:qFormat/>
    <w:uiPriority w:val="0"/>
    <w:rPr>
      <w:rFonts w:hint="default" w:ascii="Cambria" w:hAnsi="Cambria" w:eastAsia="宋体" w:cs="Times New Roman"/>
      <w:b/>
      <w:bCs/>
      <w:sz w:val="28"/>
      <w:szCs w:val="28"/>
    </w:rPr>
  </w:style>
  <w:style w:type="character" w:customStyle="1" w:styleId="35">
    <w:name w:val="26"/>
    <w:basedOn w:val="14"/>
    <w:qFormat/>
    <w:uiPriority w:val="0"/>
    <w:rPr>
      <w:rFonts w:hint="eastAsia" w:ascii="宋体" w:hAnsi="宋体" w:eastAsia="宋体" w:cs="宋体"/>
      <w:b/>
      <w:bCs/>
      <w:kern w:val="44"/>
      <w:sz w:val="44"/>
      <w:szCs w:val="44"/>
    </w:rPr>
  </w:style>
  <w:style w:type="character" w:customStyle="1" w:styleId="36">
    <w:name w:val="27"/>
    <w:basedOn w:val="14"/>
    <w:qFormat/>
    <w:uiPriority w:val="0"/>
    <w:rPr>
      <w:rFonts w:hint="eastAsia" w:ascii="宋体" w:hAnsi="宋体" w:eastAsia="宋体" w:cs="宋体"/>
      <w:color w:val="000000"/>
      <w:sz w:val="20"/>
      <w:szCs w:val="20"/>
    </w:rPr>
  </w:style>
  <w:style w:type="character" w:customStyle="1" w:styleId="37">
    <w:name w:val="28"/>
    <w:basedOn w:val="14"/>
    <w:qFormat/>
    <w:uiPriority w:val="0"/>
    <w:rPr>
      <w:rFonts w:hint="default" w:ascii="Cambria" w:hAnsi="Cambria" w:eastAsia="宋体" w:cs="Times New Roman"/>
      <w:b/>
      <w:bCs/>
      <w:sz w:val="32"/>
      <w:szCs w:val="32"/>
    </w:rPr>
  </w:style>
  <w:style w:type="paragraph" w:customStyle="1" w:styleId="38">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9">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40">
    <w:name w:val="29"/>
    <w:basedOn w:val="14"/>
    <w:qFormat/>
    <w:uiPriority w:val="0"/>
    <w:rPr>
      <w:rFonts w:hint="eastAsia" w:ascii="宋体" w:hAnsi="宋体" w:eastAsia="宋体" w:cs="宋体"/>
      <w:b/>
      <w:bCs/>
      <w:sz w:val="32"/>
      <w:szCs w:val="32"/>
    </w:rPr>
  </w:style>
  <w:style w:type="character" w:customStyle="1" w:styleId="41">
    <w:name w:val="30"/>
    <w:basedOn w:val="14"/>
    <w:qFormat/>
    <w:uiPriority w:val="0"/>
    <w:rPr>
      <w:rFonts w:hint="default" w:ascii="Cambria" w:hAnsi="Cambria" w:eastAsia="宋体" w:cs="Times New Roman"/>
      <w:b/>
      <w:bCs/>
      <w:sz w:val="24"/>
      <w:szCs w:val="24"/>
    </w:rPr>
  </w:style>
  <w:style w:type="character" w:customStyle="1" w:styleId="42">
    <w:name w:val="31"/>
    <w:basedOn w:val="14"/>
    <w:qFormat/>
    <w:uiPriority w:val="0"/>
    <w:rPr>
      <w:rFonts w:hint="default" w:ascii="Times New Roman" w:hAnsi="Times New Roman" w:cs="Times New Roman"/>
    </w:rPr>
  </w:style>
  <w:style w:type="character" w:customStyle="1" w:styleId="43">
    <w:name w:val="35"/>
    <w:basedOn w:val="14"/>
    <w:qFormat/>
    <w:uiPriority w:val="0"/>
    <w:rPr>
      <w:rFonts w:hint="default" w:ascii="Times New Roman" w:hAnsi="Times New Roman" w:cs="Times New Roman"/>
      <w:color w:val="000000"/>
      <w:sz w:val="20"/>
      <w:szCs w:val="20"/>
    </w:rPr>
  </w:style>
  <w:style w:type="paragraph" w:customStyle="1" w:styleId="44">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Characters>15154</Characters>
  <Lines>126</Lines>
  <Paragraphs>35</Paragraphs>
  <TotalTime>49</TotalTime>
  <ScaleCrop>false</ScaleCrop>
  <LinksUpToDate>false</LinksUpToDate>
  <Application>WPS Office_10.8.2.6990_F1E327BC-269C-435d-A152-05C5408002CA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2021-07-29T15:00:00Z</dcterms:created>
  <dc:creator>Administrator</dc:creator>
  <cp:lastModifiedBy>whd</cp:lastModifiedBy>
  <dcterms:modified xsi:type="dcterms:W3CDTF">2022-02-25T01:11:13Z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95A9E0C48CAD41439952C36071D5F49A</vt:lpwstr>
  </property>
</Properties>
</file>