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25" w:lineRule="exact"/>
        <w:jc w:val="center"/>
        <w:rPr>
          <w:rFonts w:hint="eastAsia" w:ascii="FZXiaoBiaoSong-B05S" w:hAnsi="FZXiaoBiaoSong-B05S" w:eastAsia="FZXiaoBiaoSong-B05S"/>
          <w:sz w:val="44"/>
          <w:szCs w:val="24"/>
        </w:rPr>
      </w:pPr>
    </w:p>
    <w:tbl>
      <w:tblPr>
        <w:tblStyle w:val="4"/>
        <w:tblW w:w="26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gridCol w:w="8682"/>
        <w:gridCol w:w="8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jc w:val="center"/>
              <w:rPr>
                <w:rFonts w:hint="eastAsia" w:ascii="黑体" w:hAnsi="黑体" w:eastAsia="黑体"/>
                <w:sz w:val="30"/>
                <w:szCs w:val="24"/>
              </w:rPr>
            </w:pPr>
            <w:r>
              <w:rPr>
                <w:rFonts w:hint="eastAsia" w:ascii="FZXiaoBiaoSong-B05S" w:hAnsi="FZXiaoBiaoSong-B05S" w:eastAsia="FZXiaoBiaoSong-B05S"/>
                <w:sz w:val="44"/>
                <w:szCs w:val="24"/>
              </w:rPr>
              <w:t>2022年厦门市财政审核中心</w:t>
            </w:r>
            <w:r>
              <w:rPr>
                <w:rFonts w:hint="eastAsia" w:ascii="FZXiaoBiaoSong-B05S" w:hAnsi="FZXiaoBiaoSong-B05S" w:eastAsia="FZXiaoBiaoSong-B05S"/>
                <w:sz w:val="44"/>
                <w:szCs w:val="24"/>
                <w:lang w:eastAsia="zh-CN"/>
              </w:rPr>
              <w:t>部门</w:t>
            </w:r>
            <w:r>
              <w:rPr>
                <w:rFonts w:hint="eastAsia" w:ascii="FZXiaoBiaoSong-B05S" w:hAnsi="FZXiaoBiaoSong-B05S" w:eastAsia="FZXiaoBiaoSong-B05S"/>
                <w:sz w:val="44"/>
                <w:szCs w:val="24"/>
              </w:rPr>
              <w:t>预算说明</w:t>
            </w:r>
          </w:p>
          <w:p>
            <w:pPr>
              <w:spacing w:beforeLines="0" w:afterLines="0" w:line="525" w:lineRule="exact"/>
              <w:jc w:val="center"/>
              <w:rPr>
                <w:rFonts w:hint="eastAsia" w:ascii="黑体" w:hAnsi="黑体" w:eastAsia="黑体"/>
                <w:sz w:val="30"/>
                <w:szCs w:val="24"/>
              </w:rPr>
            </w:pPr>
          </w:p>
          <w:p>
            <w:pPr>
              <w:spacing w:beforeLines="0" w:afterLines="0" w:line="525" w:lineRule="exact"/>
              <w:jc w:val="center"/>
              <w:rPr>
                <w:rFonts w:hint="eastAsia" w:ascii="黑体" w:hAnsi="黑体" w:eastAsia="黑体"/>
                <w:sz w:val="32"/>
                <w:szCs w:val="24"/>
              </w:rPr>
            </w:pPr>
            <w:r>
              <w:rPr>
                <w:rFonts w:hint="eastAsia" w:ascii="黑体" w:hAnsi="黑体" w:eastAsia="黑体"/>
                <w:sz w:val="32"/>
                <w:szCs w:val="24"/>
              </w:rPr>
              <w:t>目　　录</w:t>
            </w: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jc w:val="center"/>
              <w:rPr>
                <w:rFonts w:hint="eastAsia" w:ascii="黑体" w:hAnsi="黑体" w:eastAsia="黑体"/>
                <w:sz w:val="32"/>
                <w:szCs w:val="24"/>
              </w:rPr>
            </w:pP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jc w:val="center"/>
              <w:rPr>
                <w:rFonts w:hint="eastAsia" w:ascii="黑体" w:hAnsi="黑体" w:eastAsia="黑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rPr>
                <w:rFonts w:hint="eastAsia" w:ascii="仿宋" w:hAnsi="仿宋" w:eastAsia="仿宋"/>
                <w:sz w:val="32"/>
                <w:szCs w:val="24"/>
              </w:rPr>
            </w:pPr>
            <w:r>
              <w:rPr>
                <w:rFonts w:hint="eastAsia" w:ascii="黑体" w:hAnsi="黑体" w:eastAsia="黑体"/>
                <w:sz w:val="32"/>
                <w:szCs w:val="24"/>
              </w:rPr>
              <w:t>　　第一部分   单位概况</w:t>
            </w:r>
          </w:p>
          <w:p>
            <w:pPr>
              <w:spacing w:beforeLines="0" w:afterLines="0" w:line="555" w:lineRule="exact"/>
              <w:rPr>
                <w:rFonts w:hint="eastAsia" w:ascii="FangSong_GB2312" w:hAnsi="FangSong_GB2312" w:eastAsia="FangSong_GB2312"/>
                <w:sz w:val="32"/>
                <w:szCs w:val="24"/>
              </w:rPr>
            </w:pPr>
            <w:r>
              <w:rPr>
                <w:rFonts w:hint="eastAsia" w:ascii="仿宋" w:hAnsi="仿宋" w:eastAsia="仿宋"/>
                <w:sz w:val="32"/>
                <w:szCs w:val="24"/>
              </w:rPr>
              <w:t>　　</w:t>
            </w:r>
            <w:r>
              <w:rPr>
                <w:rFonts w:hint="eastAsia" w:ascii="FangSong_GB2312" w:hAnsi="FangSong_GB2312" w:eastAsia="FangSong_GB2312"/>
                <w:sz w:val="32"/>
                <w:szCs w:val="24"/>
              </w:rPr>
              <w:t>一、单位主要职责</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二、单位基本情况</w:t>
            </w:r>
          </w:p>
          <w:p>
            <w:pPr>
              <w:spacing w:beforeLines="0" w:afterLines="0" w:line="555" w:lineRule="exact"/>
              <w:rPr>
                <w:rFonts w:hint="eastAsia" w:ascii="黑体" w:hAnsi="黑体" w:eastAsia="黑体"/>
                <w:sz w:val="32"/>
                <w:szCs w:val="24"/>
              </w:rPr>
            </w:pPr>
            <w:r>
              <w:rPr>
                <w:rFonts w:hint="eastAsia" w:ascii="FangSong_GB2312" w:hAnsi="FangSong_GB2312" w:eastAsia="FangSong_GB2312"/>
                <w:sz w:val="32"/>
                <w:szCs w:val="24"/>
              </w:rPr>
              <w:t>　　三、单位主要工作任务</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第二部分   2022年单位预算说明</w:t>
            </w:r>
          </w:p>
          <w:p>
            <w:pPr>
              <w:spacing w:beforeLines="0" w:afterLines="0" w:line="555" w:lineRule="exact"/>
              <w:rPr>
                <w:rFonts w:hint="eastAsia" w:ascii="FangSong_GB2312" w:hAnsi="FangSong_GB2312" w:eastAsia="FangSong_GB2312"/>
                <w:sz w:val="32"/>
                <w:szCs w:val="24"/>
              </w:rPr>
            </w:pPr>
            <w:r>
              <w:rPr>
                <w:rFonts w:hint="eastAsia" w:ascii="黑体" w:hAnsi="黑体" w:eastAsia="黑体"/>
                <w:sz w:val="32"/>
                <w:szCs w:val="24"/>
              </w:rPr>
              <w:t>　　</w:t>
            </w:r>
            <w:r>
              <w:rPr>
                <w:rFonts w:hint="eastAsia" w:ascii="FangSong_GB2312" w:hAnsi="FangSong_GB2312" w:eastAsia="FangSong_GB2312"/>
                <w:sz w:val="32"/>
                <w:szCs w:val="24"/>
              </w:rPr>
              <w:t>一、2022年单位预算收支总体情况</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二、一般公共预算财政拨款支出预算情况</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三、政府性基金预算财政拨款支出情况</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四、“三公”经费财政拨款预算情况</w:t>
            </w:r>
          </w:p>
          <w:p>
            <w:pPr>
              <w:spacing w:beforeLines="0" w:afterLines="0" w:line="555" w:lineRule="exact"/>
              <w:rPr>
                <w:rFonts w:hint="eastAsia" w:ascii="黑体" w:hAnsi="黑体" w:eastAsia="黑体"/>
                <w:sz w:val="32"/>
                <w:szCs w:val="24"/>
              </w:rPr>
            </w:pPr>
            <w:r>
              <w:rPr>
                <w:rFonts w:hint="eastAsia" w:ascii="FangSong_GB2312" w:hAnsi="FangSong_GB2312" w:eastAsia="FangSong_GB2312"/>
                <w:sz w:val="32"/>
                <w:szCs w:val="24"/>
              </w:rPr>
              <w:t>　　五、其他重要事项的情况说明</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第三部分   名词解释</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第四部分   2022年部门预算附表</w:t>
            </w:r>
          </w:p>
          <w:p>
            <w:pPr>
              <w:spacing w:beforeLines="0" w:afterLines="0" w:line="555" w:lineRule="exact"/>
              <w:rPr>
                <w:rFonts w:hint="eastAsia" w:ascii="FangSong_GB2312" w:hAnsi="FangSong_GB2312" w:eastAsia="FangSong_GB2312"/>
                <w:sz w:val="32"/>
                <w:szCs w:val="24"/>
              </w:rPr>
            </w:pPr>
            <w:r>
              <w:rPr>
                <w:rFonts w:hint="eastAsia" w:ascii="黑体" w:hAnsi="黑体" w:eastAsia="黑体"/>
                <w:sz w:val="32"/>
                <w:szCs w:val="24"/>
              </w:rPr>
              <w:t>　　</w:t>
            </w:r>
            <w:r>
              <w:rPr>
                <w:rFonts w:hint="eastAsia" w:ascii="FangSong_GB2312" w:hAnsi="FangSong_GB2312" w:eastAsia="FangSong_GB2312"/>
                <w:sz w:val="32"/>
                <w:szCs w:val="24"/>
              </w:rPr>
              <w:t>一、部门收支预算总体情况表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二、部门收入预算总体情况表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三、部门支出预算总体情况表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四、财政拨款收支预算总体情况表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五、一般公共预算支出情况表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六、一般公共预算基本支出情况表（经济分类款级科目）</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七、一般公共预算“三公”经费支出情况表</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八、政府性基金预算支出情况表</w:t>
            </w:r>
          </w:p>
          <w:p>
            <w:pPr>
              <w:spacing w:beforeLines="0" w:afterLines="0" w:line="555" w:lineRule="exact"/>
              <w:ind w:firstLine="640"/>
              <w:rPr>
                <w:rFonts w:hint="eastAsia" w:ascii="FangSong_GB2312" w:hAnsi="FangSong_GB2312" w:eastAsia="FangSong_GB2312"/>
                <w:sz w:val="32"/>
                <w:szCs w:val="24"/>
                <w:highlight w:val="none"/>
                <w:lang w:eastAsia="zh-CN"/>
              </w:rPr>
            </w:pPr>
            <w:r>
              <w:rPr>
                <w:rFonts w:hint="eastAsia" w:ascii="FangSong_GB2312" w:hAnsi="FangSong_GB2312" w:eastAsia="FangSong_GB2312"/>
                <w:sz w:val="32"/>
                <w:szCs w:val="24"/>
              </w:rPr>
              <w:t>九、市对区转移支付项目支出预算表</w:t>
            </w: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rPr>
                <w:rFonts w:hint="eastAsia" w:ascii="FangSong_GB2312" w:hAnsi="FangSong_GB2312" w:eastAsia="FangSong_GB2312"/>
                <w:sz w:val="32"/>
                <w:szCs w:val="24"/>
                <w:highlight w:val="none"/>
                <w:lang w:eastAsia="zh-CN"/>
              </w:rPr>
            </w:pP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firstLine="640"/>
              <w:rPr>
                <w:rFonts w:hint="eastAsia" w:ascii="FangSong_GB2312" w:hAnsi="FangSong_GB2312" w:eastAsia="FangSong_GB2312"/>
                <w:sz w:val="32"/>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p>
            <w:pPr>
              <w:spacing w:beforeLines="0" w:afterLines="0" w:line="555" w:lineRule="exact"/>
              <w:rPr>
                <w:rFonts w:hint="eastAsia" w:ascii="黑体" w:hAnsi="黑体" w:eastAsia="黑体"/>
                <w:sz w:val="32"/>
                <w:szCs w:val="24"/>
              </w:rPr>
            </w:pPr>
            <w:r>
              <w:rPr>
                <w:rFonts w:hint="eastAsia" w:ascii="黑体" w:hAnsi="黑体" w:eastAsia="黑体"/>
                <w:sz w:val="32"/>
                <w:szCs w:val="24"/>
              </w:rPr>
              <w:t>　</w:t>
            </w:r>
          </w:p>
          <w:p>
            <w:pPr>
              <w:spacing w:beforeLines="0" w:afterLines="0" w:line="555" w:lineRule="exact"/>
              <w:ind w:firstLine="640" w:firstLineChars="200"/>
              <w:rPr>
                <w:rFonts w:hint="eastAsia" w:ascii="FangSong_GB2312" w:hAnsi="FangSong_GB2312" w:eastAsia="FangSong_GB2312"/>
                <w:sz w:val="32"/>
                <w:szCs w:val="24"/>
              </w:rPr>
            </w:pPr>
            <w:r>
              <w:rPr>
                <w:rFonts w:hint="eastAsia" w:ascii="黑体" w:hAnsi="黑体" w:eastAsia="黑体"/>
                <w:sz w:val="32"/>
                <w:szCs w:val="24"/>
              </w:rPr>
              <w:t>一、单位主要职责</w:t>
            </w:r>
          </w:p>
          <w:p>
            <w:pPr>
              <w:tabs>
                <w:tab w:val="left" w:pos="7513"/>
              </w:tabs>
              <w:snapToGrid w:val="0"/>
              <w:spacing w:beforeLines="0" w:afterLines="0" w:line="560" w:lineRule="exact"/>
              <w:ind w:firstLine="640" w:firstLineChars="200"/>
              <w:rPr>
                <w:rFonts w:hint="eastAsia" w:ascii="仿宋_GB2312" w:hAnsi="宋体" w:eastAsia="仿宋_GB2312"/>
                <w:sz w:val="32"/>
                <w:szCs w:val="24"/>
              </w:rPr>
            </w:pPr>
            <w:r>
              <w:rPr>
                <w:rFonts w:hint="eastAsia" w:ascii="FangSong_GB2312" w:hAnsi="FangSong_GB2312" w:eastAsia="FangSong_GB2312"/>
                <w:sz w:val="32"/>
                <w:szCs w:val="24"/>
              </w:rPr>
              <w:t>厦门市财政审核中心的主要职责是：</w:t>
            </w:r>
            <w:r>
              <w:rPr>
                <w:rFonts w:hint="eastAsia" w:ascii="仿宋_GB2312" w:hAnsi="宋体" w:eastAsia="仿宋_GB2312"/>
                <w:sz w:val="32"/>
                <w:szCs w:val="24"/>
              </w:rPr>
              <w:t>配合主管部门承担财政投融资建设项目预决算审核、财政支出项目预算绩效评价、部门预算项目审核、土地开发成本核算、参与政府投资项目可行性论证及初设方案评审；政府和社会资本合作项目生成和筛选、建设进度及投资情况跟踪、财政承受能力论证及物有所值评价等方面事务性工作。</w:t>
            </w:r>
          </w:p>
          <w:p>
            <w:pPr>
              <w:spacing w:beforeLines="0" w:afterLines="0" w:line="555" w:lineRule="exact"/>
              <w:rPr>
                <w:rFonts w:hint="eastAsia" w:ascii="FangSong_GB2312" w:hAnsi="FangSong_GB2312" w:eastAsia="FangSong_GB2312"/>
                <w:sz w:val="32"/>
                <w:szCs w:val="24"/>
              </w:rPr>
            </w:pPr>
            <w:r>
              <w:rPr>
                <w:rFonts w:hint="eastAsia" w:ascii="黑体" w:hAnsi="黑体" w:eastAsia="黑体"/>
                <w:sz w:val="32"/>
                <w:szCs w:val="24"/>
              </w:rPr>
              <w:t>　　二、单位基本情况</w:t>
            </w:r>
          </w:p>
          <w:p>
            <w:pPr>
              <w:spacing w:beforeLines="0" w:afterLines="0" w:line="555" w:lineRule="exact"/>
              <w:ind w:firstLine="640"/>
              <w:rPr>
                <w:rFonts w:hint="eastAsia" w:ascii="FangSong_GB2312" w:hAnsi="FangSong_GB2312" w:eastAsia="FangSong_GB2312"/>
                <w:sz w:val="32"/>
                <w:szCs w:val="24"/>
              </w:rPr>
            </w:pPr>
            <w:r>
              <w:rPr>
                <w:rFonts w:hint="eastAsia" w:ascii="FangSong_GB2312" w:hAnsi="FangSong_GB2312" w:eastAsia="FangSong_GB2312"/>
                <w:sz w:val="32"/>
                <w:szCs w:val="24"/>
              </w:rPr>
              <w:t>厦门市财政审核中心包括</w:t>
            </w:r>
            <w:r>
              <w:rPr>
                <w:rFonts w:hint="eastAsia" w:ascii="FangSong_GB2312" w:hAnsi="FangSong_GB2312" w:eastAsia="FangSong_GB2312"/>
                <w:color w:val="auto"/>
                <w:sz w:val="32"/>
                <w:szCs w:val="24"/>
                <w:lang w:val="en-US" w:eastAsia="zh-CN"/>
              </w:rPr>
              <w:t>9</w:t>
            </w:r>
            <w:r>
              <w:rPr>
                <w:rFonts w:hint="eastAsia" w:ascii="FangSong_GB2312" w:hAnsi="FangSong_GB2312" w:eastAsia="FangSong_GB2312"/>
                <w:sz w:val="32"/>
                <w:szCs w:val="24"/>
              </w:rPr>
              <w:t>个科室，人员编制数46人，在职人数41人。</w:t>
            </w:r>
          </w:p>
          <w:p>
            <w:pPr>
              <w:spacing w:beforeLines="0" w:afterLines="0" w:line="555" w:lineRule="exact"/>
              <w:ind w:firstLine="640" w:firstLineChars="200"/>
              <w:rPr>
                <w:rFonts w:hint="eastAsia" w:ascii="华文仿宋" w:hAnsi="华文仿宋" w:eastAsia="华文仿宋"/>
                <w:sz w:val="32"/>
                <w:szCs w:val="24"/>
              </w:rPr>
            </w:pPr>
            <w:r>
              <w:rPr>
                <w:rFonts w:hint="eastAsia" w:ascii="黑体" w:hAnsi="黑体" w:eastAsia="黑体"/>
                <w:sz w:val="32"/>
                <w:szCs w:val="24"/>
              </w:rPr>
              <w:t>三、单位主要工作任务</w:t>
            </w:r>
          </w:p>
          <w:p>
            <w:pPr>
              <w:pStyle w:val="6"/>
              <w:pBdr>
                <w:bottom w:val="single" w:color="FFFFFF" w:sz="4" w:space="31"/>
              </w:pBdr>
              <w:snapToGrid w:val="0"/>
              <w:spacing w:beforeLines="0" w:afterLines="0" w:line="560" w:lineRule="exact"/>
              <w:ind w:firstLine="640" w:firstLineChars="200"/>
              <w:rPr>
                <w:rFonts w:hint="eastAsia" w:ascii="仿宋_GB2312" w:eastAsia="仿宋_GB2312"/>
                <w:sz w:val="32"/>
                <w:szCs w:val="24"/>
              </w:rPr>
            </w:pPr>
            <w:r>
              <w:rPr>
                <w:rFonts w:hint="eastAsia" w:ascii="FangSong_GB2312" w:hAnsi="FangSong_GB2312" w:eastAsia="FangSong_GB2312"/>
                <w:sz w:val="32"/>
                <w:szCs w:val="24"/>
              </w:rPr>
              <w:t>2022年，厦门市财政审核中心主要任务是：</w:t>
            </w:r>
            <w:r>
              <w:rPr>
                <w:rFonts w:hint="eastAsia" w:ascii="仿宋_GB2312" w:eastAsia="仿宋_GB2312"/>
                <w:sz w:val="32"/>
                <w:szCs w:val="24"/>
              </w:rPr>
              <w:t>深入学习贯彻党的十九届六中全会精神，对照市委市政府、市财政局工作</w:t>
            </w:r>
            <w:r>
              <w:rPr>
                <w:rFonts w:hint="eastAsia" w:ascii="仿宋_GB2312" w:eastAsia="仿宋_GB2312"/>
                <w:sz w:val="32"/>
                <w:szCs w:val="24"/>
                <w:lang w:eastAsia="zh-CN"/>
              </w:rPr>
              <w:t>要求</w:t>
            </w:r>
            <w:r>
              <w:rPr>
                <w:rFonts w:hint="eastAsia" w:ascii="仿宋_GB2312" w:eastAsia="仿宋_GB2312"/>
                <w:sz w:val="32"/>
                <w:szCs w:val="24"/>
              </w:rPr>
              <w:t>，服务厦门建设高水平高素质高颜值现代化国际化城市。</w:t>
            </w:r>
            <w:r>
              <w:rPr>
                <w:rFonts w:hint="eastAsia" w:ascii="FangSong_GB2312" w:hAnsi="FangSong_GB2312" w:eastAsia="FangSong_GB2312"/>
                <w:sz w:val="32"/>
                <w:szCs w:val="24"/>
              </w:rPr>
              <w:t>围绕上述任务，重点抓好以下工作：</w:t>
            </w:r>
          </w:p>
          <w:p>
            <w:pPr>
              <w:pStyle w:val="6"/>
              <w:pBdr>
                <w:bottom w:val="single" w:color="FFFFFF" w:sz="4" w:space="31"/>
              </w:pBdr>
              <w:snapToGrid w:val="0"/>
              <w:spacing w:beforeLines="0" w:afterLines="0"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一）继续推动党史学习教育走深走实，为党的二十大召开打好思想基础。丰富述学、评学、听学等学习方式，在“潜心自学、集体研学、领导带学、典型导学、巡听评学”五个方面下功夫，激发学习的兴趣与热情，坚持真学真懂，全面系统、融会贯通、准确把握核心要义和精神实质，提升干部职工的政治领悟力、政治判断力和政治执行力，切实学出思想提升。</w:t>
            </w:r>
          </w:p>
          <w:p>
            <w:pPr>
              <w:pStyle w:val="6"/>
              <w:pBdr>
                <w:bottom w:val="single" w:color="FFFFFF" w:sz="4" w:space="31"/>
              </w:pBdr>
              <w:snapToGrid w:val="0"/>
              <w:spacing w:beforeLines="0" w:afterLines="0"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二）协助局基建处推动基建项目投资体制改革，加大力度推行PPP和REITs投资模式。根据市政府工作部署要求，抓住困难时期有利于凝聚共识的契机，配合局基建处开展PPP和REITs投资模式政策梳理和宣贯，指导业主单位开展项目生成工作，做好物有所值评价和财政承受能力论证，推动PPP和REITs项目尽快生成落地，进一步拓宽融资渠道。</w:t>
            </w:r>
          </w:p>
          <w:p>
            <w:pPr>
              <w:pStyle w:val="6"/>
              <w:pBdr>
                <w:bottom w:val="single" w:color="FFFFFF" w:sz="4" w:space="31"/>
              </w:pBdr>
              <w:snapToGrid w:val="0"/>
              <w:spacing w:beforeLines="0" w:afterLines="0"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（三）充分</w:t>
            </w:r>
            <w:r>
              <w:rPr>
                <w:rFonts w:hint="eastAsia" w:ascii="仿宋" w:hAnsi="仿宋" w:eastAsia="仿宋" w:cs="仿宋"/>
                <w:b w:val="0"/>
                <w:bCs/>
                <w:sz w:val="32"/>
                <w:szCs w:val="32"/>
                <w:lang w:eastAsia="zh-CN"/>
              </w:rPr>
              <w:t>借助</w:t>
            </w:r>
            <w:r>
              <w:rPr>
                <w:rFonts w:hint="eastAsia" w:ascii="仿宋" w:hAnsi="仿宋" w:eastAsia="仿宋" w:cs="仿宋"/>
                <w:b w:val="0"/>
                <w:bCs/>
                <w:sz w:val="32"/>
                <w:szCs w:val="32"/>
              </w:rPr>
              <w:t>轨道、城投、市政等国企的力量，探索快速高效的结算审核机制，持续不断地优化工程领域营商环境。结合轨道2号线结算样板项目的成效，总结三类风险清单（即固化清单、风险清单、分歧清单）的结算审核创新做法，形成结算工作机制，提高结算管理水平，充分</w:t>
            </w:r>
            <w:r>
              <w:rPr>
                <w:rFonts w:hint="eastAsia" w:ascii="仿宋" w:hAnsi="仿宋" w:eastAsia="仿宋" w:cs="仿宋"/>
                <w:b w:val="0"/>
                <w:bCs/>
                <w:sz w:val="32"/>
                <w:szCs w:val="32"/>
                <w:lang w:eastAsia="zh-CN"/>
              </w:rPr>
              <w:t>借助</w:t>
            </w:r>
            <w:r>
              <w:rPr>
                <w:rFonts w:hint="eastAsia" w:ascii="仿宋" w:hAnsi="仿宋" w:eastAsia="仿宋" w:cs="仿宋"/>
                <w:b w:val="0"/>
                <w:bCs/>
                <w:sz w:val="32"/>
                <w:szCs w:val="32"/>
              </w:rPr>
              <w:t>国企的力量，发挥建设、代建单位的主体责任，谋划突破中心人</w:t>
            </w:r>
            <w:r>
              <w:rPr>
                <w:rFonts w:hint="eastAsia" w:ascii="仿宋" w:hAnsi="仿宋" w:eastAsia="仿宋" w:cs="仿宋"/>
                <w:b w:val="0"/>
                <w:bCs/>
                <w:sz w:val="32"/>
                <w:szCs w:val="32"/>
                <w:lang w:eastAsia="zh-CN"/>
              </w:rPr>
              <w:t>少</w:t>
            </w:r>
            <w:r>
              <w:rPr>
                <w:rFonts w:hint="eastAsia" w:ascii="仿宋" w:hAnsi="仿宋" w:eastAsia="仿宋" w:cs="仿宋"/>
                <w:b w:val="0"/>
                <w:bCs/>
                <w:sz w:val="32"/>
                <w:szCs w:val="32"/>
              </w:rPr>
              <w:t>事</w:t>
            </w:r>
            <w:r>
              <w:rPr>
                <w:rFonts w:hint="eastAsia" w:ascii="仿宋" w:hAnsi="仿宋" w:eastAsia="仿宋" w:cs="仿宋"/>
                <w:b w:val="0"/>
                <w:bCs/>
                <w:sz w:val="32"/>
                <w:szCs w:val="32"/>
                <w:lang w:eastAsia="zh-CN"/>
              </w:rPr>
              <w:t>多</w:t>
            </w:r>
            <w:r>
              <w:rPr>
                <w:rFonts w:hint="eastAsia" w:ascii="仿宋" w:hAnsi="仿宋" w:eastAsia="仿宋" w:cs="仿宋"/>
                <w:b w:val="0"/>
                <w:bCs/>
                <w:sz w:val="32"/>
                <w:szCs w:val="32"/>
              </w:rPr>
              <w:t>的瓶颈，推动结算质量和效率双提升。</w:t>
            </w:r>
          </w:p>
          <w:p>
            <w:pPr>
              <w:pStyle w:val="6"/>
              <w:pBdr>
                <w:bottom w:val="single" w:color="FFFFFF" w:sz="4" w:space="31"/>
              </w:pBdr>
              <w:snapToGrid w:val="0"/>
              <w:spacing w:beforeLines="0" w:afterLines="0"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四）推进竣工财务决算办理常态化、制度化，基建项目建设管理水平进一步提升。总结近年财务决算清理工作的问题和经验，一是推进财务决算办理常态化、制度化，厘清流程和权责，从源头解决财务决算办理不及时、难度大的问题；二是继续推动长期未决算项目加快决算办理。 </w:t>
            </w:r>
          </w:p>
          <w:p>
            <w:pPr>
              <w:pStyle w:val="6"/>
              <w:pBdr>
                <w:bottom w:val="single" w:color="FFFFFF" w:sz="4" w:space="31"/>
              </w:pBdr>
              <w:snapToGrid w:val="0"/>
              <w:spacing w:beforeLines="0" w:afterLines="0"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五）以深入创建省级文明单位为契机，加强人才队伍建设，提振干部队伍精气神。统筹推进省级文明单位创建的各项具体工作，引导中心干部职工心往一处想，劲往一处使，推动创建目标与业务工作紧密结合，争取文明创建再上新台阶。严格落实精准双报到活动常态化机制，做好党员到社区参加文明实践志愿服务活动工作。坚持好干部标准，大力培养想干事、能干事、干成事的干部，强化正向激励、反向鞭策，实施重点工作晾晒考核等机制，严肃问责庸懒散，持续提振精气神。 </w:t>
            </w:r>
          </w:p>
          <w:p>
            <w:pPr>
              <w:pStyle w:val="6"/>
              <w:pBdr>
                <w:bottom w:val="single" w:color="FFFFFF" w:sz="4" w:space="31"/>
              </w:pBdr>
              <w:snapToGrid w:val="0"/>
              <w:spacing w:beforeLines="0" w:afterLines="0" w:line="560" w:lineRule="exact"/>
              <w:ind w:firstLine="640" w:firstLineChars="200"/>
              <w:rPr>
                <w:rFonts w:hint="eastAsia" w:ascii="仿宋_GB2312" w:hAnsi="仿宋" w:eastAsia="仿宋_GB2312"/>
                <w:b w:val="0"/>
                <w:bCs/>
                <w:sz w:val="32"/>
                <w:szCs w:val="24"/>
              </w:rPr>
            </w:pPr>
            <w:r>
              <w:rPr>
                <w:rFonts w:hint="eastAsia" w:ascii="仿宋" w:hAnsi="仿宋" w:eastAsia="仿宋" w:cs="仿宋"/>
                <w:b w:val="0"/>
                <w:bCs/>
                <w:sz w:val="32"/>
                <w:szCs w:val="32"/>
              </w:rPr>
              <w:t>（</w:t>
            </w:r>
            <w:r>
              <w:rPr>
                <w:rFonts w:hint="eastAsia" w:ascii="仿宋" w:hAnsi="仿宋" w:eastAsia="仿宋" w:cs="仿宋"/>
                <w:b w:val="0"/>
                <w:bCs/>
                <w:kern w:val="2"/>
                <w:sz w:val="32"/>
                <w:szCs w:val="32"/>
                <w:lang w:eastAsia="zh-CN"/>
              </w:rPr>
              <w:t>六</w:t>
            </w:r>
            <w:r>
              <w:rPr>
                <w:rFonts w:hint="eastAsia" w:ascii="仿宋" w:hAnsi="仿宋" w:eastAsia="仿宋" w:cs="仿宋"/>
                <w:b w:val="0"/>
                <w:bCs/>
                <w:kern w:val="2"/>
                <w:sz w:val="32"/>
                <w:szCs w:val="32"/>
              </w:rPr>
              <w:t>）持续推进党风廉政建设，常态化做好业务内控建设和保密工作。</w:t>
            </w:r>
            <w:r>
              <w:rPr>
                <w:rFonts w:hint="eastAsia" w:ascii="仿宋" w:hAnsi="仿宋" w:eastAsia="仿宋" w:cs="仿宋"/>
                <w:b w:val="0"/>
                <w:bCs/>
                <w:sz w:val="32"/>
                <w:szCs w:val="32"/>
              </w:rPr>
              <w:t>深入学习贯彻中央八项规定精神，定期召开座谈会，掌握干部职工思想状况。开展经常性谈心谈话，将落实党章党规党纪要求和中心工作相结合。将廉政制度的执行情况纳入干部考核，引导干部职工与协审机构</w:t>
            </w:r>
            <w:r>
              <w:rPr>
                <w:rFonts w:hint="eastAsia" w:ascii="仿宋" w:hAnsi="仿宋" w:eastAsia="仿宋" w:cs="仿宋"/>
                <w:b w:val="0"/>
                <w:bCs/>
                <w:sz w:val="32"/>
                <w:szCs w:val="32"/>
                <w:lang w:eastAsia="zh-CN"/>
              </w:rPr>
              <w:t>构建</w:t>
            </w:r>
            <w:r>
              <w:rPr>
                <w:rFonts w:hint="eastAsia" w:ascii="仿宋" w:hAnsi="仿宋" w:eastAsia="仿宋" w:cs="仿宋"/>
                <w:b w:val="0"/>
                <w:bCs/>
                <w:sz w:val="32"/>
                <w:szCs w:val="32"/>
              </w:rPr>
              <w:t>“亲清”关系。分析研判中心内部管理的短板，建立健全中心业务内控制度和保密制度，及时防范化解风险。</w:t>
            </w:r>
          </w:p>
          <w:p>
            <w:pPr>
              <w:pStyle w:val="6"/>
              <w:pBdr>
                <w:bottom w:val="single" w:color="FFFFFF" w:sz="4" w:space="31"/>
              </w:pBdr>
              <w:snapToGrid w:val="0"/>
              <w:spacing w:beforeLines="0" w:afterLines="0" w:line="560" w:lineRule="exact"/>
              <w:ind w:firstLine="1920" w:firstLineChars="600"/>
              <w:rPr>
                <w:rFonts w:hint="eastAsia" w:ascii="黑体" w:hAnsi="黑体" w:eastAsia="黑体"/>
                <w:sz w:val="32"/>
                <w:szCs w:val="24"/>
              </w:rPr>
            </w:pPr>
          </w:p>
          <w:p>
            <w:pPr>
              <w:pStyle w:val="6"/>
              <w:numPr>
                <w:ilvl w:val="0"/>
                <w:numId w:val="1"/>
              </w:numPr>
              <w:pBdr>
                <w:bottom w:val="single" w:color="FFFFFF" w:sz="4" w:space="31"/>
              </w:pBdr>
              <w:snapToGrid w:val="0"/>
              <w:spacing w:beforeLines="0" w:afterLines="0" w:line="560" w:lineRule="exact"/>
              <w:ind w:firstLine="1920" w:firstLineChars="600"/>
              <w:rPr>
                <w:rFonts w:hint="eastAsia" w:ascii="黑体" w:hAnsi="黑体" w:eastAsia="黑体"/>
                <w:sz w:val="32"/>
                <w:szCs w:val="24"/>
              </w:rPr>
            </w:pPr>
            <w:r>
              <w:rPr>
                <w:rFonts w:hint="eastAsia" w:ascii="黑体" w:hAnsi="黑体" w:eastAsia="黑体"/>
                <w:sz w:val="32"/>
                <w:szCs w:val="24"/>
              </w:rPr>
              <w:t xml:space="preserve"> 2022年单位预算说明</w:t>
            </w:r>
          </w:p>
          <w:p>
            <w:pPr>
              <w:spacing w:beforeLines="0" w:afterLines="0" w:line="555" w:lineRule="exact"/>
              <w:ind w:firstLine="640" w:firstLineChars="200"/>
              <w:rPr>
                <w:rFonts w:hint="eastAsia" w:ascii="华文仿宋" w:hAnsi="华文仿宋" w:eastAsia="华文仿宋"/>
                <w:sz w:val="32"/>
                <w:szCs w:val="24"/>
              </w:rPr>
            </w:pPr>
            <w:r>
              <w:rPr>
                <w:rFonts w:hint="eastAsia" w:ascii="黑体" w:hAnsi="黑体" w:eastAsia="黑体"/>
                <w:sz w:val="32"/>
                <w:szCs w:val="24"/>
              </w:rPr>
              <w:t>一、2022年单位预算收支总体情况</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根据预算管理的有关规定，单位的全部收入和支出均纳入部门预算管理。</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（一）厦门市财政审核中心2022年收入预算为3,825.98万元，比2021年预算数增加</w:t>
            </w:r>
            <w:r>
              <w:rPr>
                <w:rFonts w:hint="eastAsia" w:ascii="FangSong_GB2312" w:hAnsi="FangSong_GB2312" w:eastAsia="FangSong_GB2312"/>
                <w:color w:val="auto"/>
                <w:sz w:val="32"/>
                <w:szCs w:val="24"/>
                <w:lang w:val="en-US" w:eastAsia="zh-CN"/>
              </w:rPr>
              <w:t>610.91</w:t>
            </w:r>
            <w:r>
              <w:rPr>
                <w:rFonts w:hint="eastAsia" w:ascii="FangSong_GB2312" w:hAnsi="FangSong_GB2312" w:eastAsia="FangSong_GB2312"/>
                <w:sz w:val="32"/>
                <w:szCs w:val="24"/>
              </w:rPr>
              <w:t>万元，增长</w:t>
            </w:r>
            <w:r>
              <w:rPr>
                <w:rFonts w:hint="eastAsia" w:ascii="FangSong_GB2312" w:hAnsi="FangSong_GB2312" w:eastAsia="FangSong_GB2312"/>
                <w:color w:val="auto"/>
                <w:sz w:val="32"/>
                <w:szCs w:val="24"/>
                <w:lang w:val="en-US" w:eastAsia="zh-CN"/>
              </w:rPr>
              <w:t>19</w:t>
            </w:r>
            <w:r>
              <w:rPr>
                <w:rFonts w:hint="eastAsia" w:ascii="FangSong_GB2312" w:hAnsi="FangSong_GB2312" w:eastAsia="FangSong_GB2312"/>
                <w:sz w:val="32"/>
                <w:szCs w:val="24"/>
              </w:rPr>
              <w:t>％，具体情况如下：</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1.财政拨款收入3,825.98万元，其中一般公共预算拨款收入3,825.98万元，政府性基金拨款收入0.00万元，国有资本经营预算拨款收入0.00万元；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2.财政专户管理资金收入0.00万元；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3.事业收入0.00万元；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4.事业单位经营收入0.00万元；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5.上级补助收入0.00万元；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6.附属单位上缴收入0.00万元；</w:t>
            </w:r>
          </w:p>
          <w:p>
            <w:pPr>
              <w:spacing w:beforeLines="0" w:afterLines="0" w:line="555" w:lineRule="exact"/>
              <w:rPr>
                <w:rFonts w:hint="eastAsia" w:ascii="FangSong_GB2312" w:hAnsi="FangSong_GB2312" w:eastAsia="FangSong_GB2312"/>
                <w:sz w:val="32"/>
                <w:szCs w:val="24"/>
              </w:rPr>
            </w:pPr>
            <w:r>
              <w:rPr>
                <w:rFonts w:hint="eastAsia" w:ascii="FangSong_GB2312" w:hAnsi="FangSong_GB2312" w:eastAsia="FangSong_GB2312"/>
                <w:sz w:val="32"/>
                <w:szCs w:val="24"/>
              </w:rPr>
              <w:t>　　7.其他收入0.00万元；</w:t>
            </w:r>
          </w:p>
          <w:tbl>
            <w:tblPr>
              <w:tblStyle w:val="4"/>
              <w:tblW w:w="8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8.上年结转结余0.00万元。</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（二）厦门市财政审核中心2022年支出预算为3,825.98万元（不含市对区转移支付项目），比2021年预算数增加</w:t>
                  </w:r>
                  <w:r>
                    <w:rPr>
                      <w:rFonts w:hint="eastAsia" w:ascii="FangSong_GB2312" w:hAnsi="FangSong_GB2312" w:eastAsia="FangSong_GB2312"/>
                      <w:color w:val="auto"/>
                      <w:sz w:val="32"/>
                      <w:szCs w:val="24"/>
                      <w:lang w:val="en-US" w:eastAsia="zh-CN"/>
                    </w:rPr>
                    <w:t>610.91</w:t>
                  </w:r>
                  <w:r>
                    <w:rPr>
                      <w:rFonts w:hint="eastAsia" w:ascii="FangSong_GB2312" w:hAnsi="FangSong_GB2312" w:eastAsia="FangSong_GB2312"/>
                      <w:sz w:val="32"/>
                      <w:szCs w:val="24"/>
                    </w:rPr>
                    <w:t>万元，增长</w:t>
                  </w:r>
                  <w:r>
                    <w:rPr>
                      <w:rFonts w:hint="eastAsia" w:ascii="FangSong_GB2312" w:hAnsi="FangSong_GB2312" w:eastAsia="FangSong_GB2312"/>
                      <w:color w:val="auto"/>
                      <w:sz w:val="32"/>
                      <w:szCs w:val="24"/>
                      <w:lang w:val="en-US" w:eastAsia="zh-CN"/>
                    </w:rPr>
                    <w:t>19</w:t>
                  </w:r>
                  <w:r>
                    <w:rPr>
                      <w:rFonts w:hint="eastAsia" w:ascii="FangSong_GB2312" w:hAnsi="FangSong_GB2312" w:eastAsia="FangSong_GB2312"/>
                      <w:sz w:val="32"/>
                      <w:szCs w:val="24"/>
                    </w:rPr>
                    <w:t>％，具体情况如下：</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1.基本支出1,849.98万元，其中，人员支出1,550.10万元，公用支出299.88万元；</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2.项目支出1,976.00万元；</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3.非财政拨款支出0.00万元。</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（三）厦门市财政审核中心2022年市对区转移支付项目预算为0.00万元。</w:t>
                  </w:r>
                </w:p>
                <w:p>
                  <w:pPr>
                    <w:numPr>
                      <w:ilvl w:val="0"/>
                      <w:numId w:val="0"/>
                    </w:numPr>
                    <w:spacing w:beforeLines="0" w:afterLines="0" w:line="555" w:lineRule="exact"/>
                    <w:ind w:firstLine="640" w:firstLineChars="200"/>
                    <w:rPr>
                      <w:rFonts w:hint="eastAsia" w:ascii="黑体" w:hAnsi="黑体" w:eastAsia="黑体"/>
                      <w:sz w:val="32"/>
                      <w:szCs w:val="24"/>
                    </w:rPr>
                  </w:pPr>
                  <w:r>
                    <w:rPr>
                      <w:rFonts w:hint="eastAsia" w:ascii="黑体" w:hAnsi="黑体" w:eastAsia="黑体"/>
                      <w:sz w:val="32"/>
                      <w:szCs w:val="24"/>
                    </w:rPr>
                    <w:t>二、一般公共预算财政拨款支出预算情况</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2022年度一般公共预算支出3,825.98万元（不含市对区转移支付项目），比2021年预算数增加</w:t>
                  </w:r>
                  <w:r>
                    <w:rPr>
                      <w:rFonts w:hint="eastAsia" w:ascii="FangSong_GB2312" w:hAnsi="FangSong_GB2312" w:eastAsia="FangSong_GB2312"/>
                      <w:sz w:val="32"/>
                      <w:szCs w:val="24"/>
                      <w:lang w:val="en-US" w:eastAsia="zh-CN"/>
                    </w:rPr>
                    <w:t>610.91</w:t>
                  </w:r>
                  <w:r>
                    <w:rPr>
                      <w:rFonts w:hint="eastAsia" w:ascii="FangSong_GB2312" w:hAnsi="FangSong_GB2312" w:eastAsia="FangSong_GB2312"/>
                      <w:sz w:val="32"/>
                      <w:szCs w:val="24"/>
                    </w:rPr>
                    <w:t>万元，增长</w:t>
                  </w:r>
                  <w:r>
                    <w:rPr>
                      <w:rFonts w:hint="eastAsia" w:ascii="FangSong_GB2312" w:hAnsi="FangSong_GB2312" w:eastAsia="FangSong_GB2312"/>
                      <w:color w:val="auto"/>
                      <w:sz w:val="32"/>
                      <w:szCs w:val="24"/>
                      <w:lang w:val="en-US" w:eastAsia="zh-CN"/>
                    </w:rPr>
                    <w:t>19</w:t>
                  </w:r>
                  <w:r>
                    <w:rPr>
                      <w:rFonts w:hint="eastAsia" w:ascii="FangSong_GB2312" w:hAnsi="FangSong_GB2312" w:eastAsia="FangSong_GB2312"/>
                      <w:sz w:val="32"/>
                      <w:szCs w:val="24"/>
                    </w:rPr>
                    <w:t>%，主要是由于</w:t>
                  </w:r>
                  <w:r>
                    <w:rPr>
                      <w:rFonts w:hint="eastAsia" w:ascii="FangSong_GB2312" w:hAnsi="FangSong_GB2312" w:eastAsia="FangSong_GB2312"/>
                      <w:sz w:val="32"/>
                      <w:szCs w:val="24"/>
                      <w:lang w:eastAsia="zh-CN"/>
                    </w:rPr>
                    <w:t>增加</w:t>
                  </w:r>
                  <w:r>
                    <w:rPr>
                      <w:rFonts w:hint="eastAsia" w:ascii="FangSong_GB2312" w:hAnsi="FangSong_GB2312" w:eastAsia="FangSong_GB2312"/>
                      <w:color w:val="auto"/>
                      <w:sz w:val="32"/>
                      <w:szCs w:val="24"/>
                    </w:rPr>
                    <w:t>财政审核业务费</w:t>
                  </w:r>
                  <w:r>
                    <w:rPr>
                      <w:rFonts w:hint="eastAsia" w:ascii="FangSong_GB2312" w:hAnsi="FangSong_GB2312" w:eastAsia="FangSong_GB2312"/>
                      <w:sz w:val="32"/>
                      <w:szCs w:val="24"/>
                      <w:lang w:eastAsia="zh-CN"/>
                    </w:rPr>
                    <w:t>支出</w:t>
                  </w:r>
                  <w:r>
                    <w:rPr>
                      <w:rFonts w:hint="eastAsia" w:ascii="FangSong_GB2312" w:hAnsi="FangSong_GB2312" w:eastAsia="FangSong_GB2312"/>
                      <w:sz w:val="32"/>
                      <w:szCs w:val="24"/>
                    </w:rPr>
                    <w:t>。支出项目(按项级科目分类统计)包括：</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lang w:val="en-US" w:eastAsia="zh-CN"/>
                    </w:rPr>
                    <w:t>1</w:t>
                  </w:r>
                  <w:r>
                    <w:rPr>
                      <w:rFonts w:hint="eastAsia" w:ascii="FangSong_GB2312" w:hAnsi="FangSong_GB2312" w:eastAsia="FangSong_GB2312"/>
                      <w:sz w:val="32"/>
                      <w:szCs w:val="24"/>
                    </w:rPr>
                    <w:t>.一般公共服务支出（类）财政事务（款）行政运行（项）1,702.41万元。主要用于</w:t>
                  </w:r>
                  <w:r>
                    <w:rPr>
                      <w:rFonts w:hint="eastAsia" w:ascii="仿宋_GB2312" w:hAnsi="宋体" w:eastAsia="仿宋_GB2312"/>
                      <w:sz w:val="32"/>
                      <w:szCs w:val="24"/>
                    </w:rPr>
                    <w:t>中心在职人员经费支出以及保障机构正常运转、完成日常工作任务的日常公用经费</w:t>
                  </w:r>
                  <w:r>
                    <w:rPr>
                      <w:rFonts w:hint="eastAsia" w:ascii="FangSong_GB2312" w:hAnsi="FangSong_GB2312" w:eastAsia="FangSong_GB2312"/>
                      <w:sz w:val="32"/>
                      <w:szCs w:val="24"/>
                    </w:rPr>
                    <w:t>支出。</w:t>
                  </w:r>
                </w:p>
                <w:p>
                  <w:pPr>
                    <w:numPr>
                      <w:ilvl w:val="0"/>
                      <w:numId w:val="0"/>
                    </w:num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lang w:val="en-US" w:eastAsia="zh-CN"/>
                    </w:rPr>
                    <w:t>2</w:t>
                  </w:r>
                  <w:r>
                    <w:rPr>
                      <w:rFonts w:hint="eastAsia" w:ascii="FangSong_GB2312" w:hAnsi="FangSong_GB2312" w:eastAsia="FangSong_GB2312"/>
                      <w:sz w:val="32"/>
                      <w:szCs w:val="24"/>
                    </w:rPr>
                    <w:t>.一般公共服务支出（类）财政事务（款）其他财政事务支出（项）1,976.00万元。主要用于</w:t>
                  </w:r>
                  <w:r>
                    <w:rPr>
                      <w:rFonts w:hint="eastAsia" w:ascii="仿宋_GB2312" w:hAnsi="宋体" w:eastAsia="仿宋_GB2312"/>
                      <w:sz w:val="32"/>
                      <w:szCs w:val="24"/>
                    </w:rPr>
                    <w:t>财政审核业务工作经费</w:t>
                  </w:r>
                  <w:r>
                    <w:rPr>
                      <w:rFonts w:hint="eastAsia" w:ascii="FangSong_GB2312" w:hAnsi="FangSong_GB2312" w:eastAsia="FangSong_GB2312"/>
                      <w:sz w:val="32"/>
                      <w:szCs w:val="24"/>
                    </w:rPr>
                    <w:t>支出。</w:t>
                  </w:r>
                </w:p>
                <w:p>
                  <w:pPr>
                    <w:spacing w:beforeLines="0" w:afterLines="0" w:line="555" w:lineRule="exact"/>
                    <w:ind w:firstLine="640" w:firstLineChars="200"/>
                    <w:rPr>
                      <w:rFonts w:hint="eastAsia" w:ascii="仿宋_GB2312" w:hAnsi="宋体" w:eastAsia="仿宋_GB2312"/>
                      <w:sz w:val="32"/>
                      <w:szCs w:val="24"/>
                    </w:rPr>
                  </w:pPr>
                  <w:r>
                    <w:rPr>
                      <w:rFonts w:hint="eastAsia" w:ascii="FangSong_GB2312" w:hAnsi="FangSong_GB2312" w:eastAsia="FangSong_GB2312"/>
                      <w:sz w:val="32"/>
                      <w:szCs w:val="24"/>
                      <w:lang w:val="en-US" w:eastAsia="zh-CN"/>
                    </w:rPr>
                    <w:t>3</w:t>
                  </w:r>
                  <w:r>
                    <w:rPr>
                      <w:rFonts w:hint="eastAsia" w:ascii="FangSong_GB2312" w:hAnsi="FangSong_GB2312" w:eastAsia="FangSong_GB2312"/>
                      <w:sz w:val="32"/>
                      <w:szCs w:val="24"/>
                    </w:rPr>
                    <w:t>.社会保障和就业支出（类）行政事业单位养老支出（款）行政单位离退休（项）12.21万元。主要用于</w:t>
                  </w:r>
                  <w:r>
                    <w:rPr>
                      <w:rFonts w:hint="eastAsia" w:ascii="仿宋_GB2312" w:hAnsi="宋体" w:eastAsia="仿宋_GB2312"/>
                      <w:sz w:val="32"/>
                      <w:szCs w:val="24"/>
                    </w:rPr>
                    <w:t>中心</w:t>
                  </w:r>
                  <w:r>
                    <w:rPr>
                      <w:rFonts w:hint="eastAsia" w:ascii="仿宋_GB2312" w:hAnsi="宋体" w:eastAsia="仿宋_GB2312"/>
                      <w:sz w:val="32"/>
                      <w:szCs w:val="24"/>
                      <w:highlight w:val="none"/>
                    </w:rPr>
                    <w:t>离</w:t>
                  </w:r>
                  <w:r>
                    <w:rPr>
                      <w:rFonts w:hint="eastAsia" w:ascii="仿宋_GB2312" w:hAnsi="宋体" w:eastAsia="仿宋_GB2312"/>
                      <w:sz w:val="32"/>
                      <w:szCs w:val="24"/>
                    </w:rPr>
                    <w:t>退休人员支出。</w:t>
                  </w:r>
                </w:p>
                <w:p>
                  <w:pPr>
                    <w:spacing w:beforeLines="0" w:afterLines="0" w:line="555"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lang w:val="en-US" w:eastAsia="zh-CN"/>
                    </w:rPr>
                    <w:t>4</w:t>
                  </w:r>
                  <w:r>
                    <w:rPr>
                      <w:rFonts w:hint="eastAsia" w:ascii="FangSong_GB2312" w:hAnsi="FangSong_GB2312" w:eastAsia="FangSong_GB2312"/>
                      <w:sz w:val="32"/>
                      <w:szCs w:val="24"/>
                    </w:rPr>
                    <w:t>.卫生健康支出（类）行政事业单位医疗（款）行政单位医疗（项）36.71万元。主要用于</w:t>
                  </w:r>
                  <w:r>
                    <w:rPr>
                      <w:rFonts w:hint="eastAsia" w:ascii="仿宋_GB2312" w:hAnsi="宋体" w:eastAsia="仿宋_GB2312"/>
                      <w:sz w:val="32"/>
                      <w:szCs w:val="24"/>
                    </w:rPr>
                    <w:t>中心</w:t>
                  </w:r>
                  <w:r>
                    <w:rPr>
                      <w:rFonts w:hint="eastAsia" w:ascii="仿宋_GB2312" w:hAnsi="仿宋" w:eastAsia="仿宋_GB2312" w:cs="仿宋_GB2312"/>
                      <w:sz w:val="32"/>
                      <w:szCs w:val="32"/>
                    </w:rPr>
                    <w:t>在职人员医疗保险</w:t>
                  </w:r>
                  <w:r>
                    <w:rPr>
                      <w:rFonts w:hint="eastAsia" w:ascii="仿宋_GB2312" w:hAnsi="Times New Roman" w:eastAsia="仿宋_GB2312" w:cs="仿宋_GB2312"/>
                      <w:sz w:val="32"/>
                      <w:szCs w:val="32"/>
                    </w:rPr>
                    <w:t>支出。</w:t>
                  </w:r>
                </w:p>
              </w:tc>
            </w:tr>
          </w:tbl>
          <w:p>
            <w:pPr>
              <w:pStyle w:val="6"/>
              <w:numPr>
                <w:ilvl w:val="0"/>
                <w:numId w:val="0"/>
              </w:numPr>
              <w:pBdr>
                <w:bottom w:val="single" w:color="FFFFFF" w:sz="4" w:space="31"/>
              </w:pBdr>
              <w:snapToGrid w:val="0"/>
              <w:spacing w:beforeLines="0" w:afterLines="0" w:line="560" w:lineRule="exact"/>
              <w:ind w:firstLine="640"/>
              <w:rPr>
                <w:rFonts w:hint="eastAsia" w:ascii="仿宋_GB2312" w:hAnsi="宋体" w:eastAsia="仿宋_GB2312"/>
                <w:sz w:val="32"/>
                <w:szCs w:val="24"/>
              </w:rPr>
            </w:pPr>
            <w:r>
              <w:rPr>
                <w:rFonts w:hint="eastAsia" w:ascii="FangSong_GB2312" w:hAnsi="FangSong_GB2312" w:eastAsia="FangSong_GB2312"/>
                <w:sz w:val="32"/>
                <w:szCs w:val="24"/>
                <w:lang w:val="en-US" w:eastAsia="zh-CN"/>
              </w:rPr>
              <w:t>5</w:t>
            </w:r>
            <w:r>
              <w:rPr>
                <w:rFonts w:hint="eastAsia" w:ascii="FangSong_GB2312" w:hAnsi="FangSong_GB2312" w:eastAsia="FangSong_GB2312"/>
                <w:sz w:val="32"/>
                <w:szCs w:val="24"/>
              </w:rPr>
              <w:t>.卫生健康支出（类）行政事业单位医疗（款）公务员医疗补助（项）17.48万元。主要用于</w:t>
            </w:r>
            <w:r>
              <w:rPr>
                <w:rFonts w:hint="eastAsia" w:ascii="仿宋_GB2312" w:hAnsi="宋体" w:eastAsia="仿宋_GB2312"/>
                <w:sz w:val="32"/>
                <w:szCs w:val="24"/>
              </w:rPr>
              <w:t>中心在职人员公务员医疗补助支出。</w:t>
            </w:r>
          </w:p>
          <w:p>
            <w:pPr>
              <w:pStyle w:val="6"/>
              <w:numPr>
                <w:ilvl w:val="0"/>
                <w:numId w:val="0"/>
              </w:numPr>
              <w:pBdr>
                <w:bottom w:val="single" w:color="FFFFFF" w:sz="4" w:space="31"/>
              </w:pBdr>
              <w:snapToGrid w:val="0"/>
              <w:spacing w:beforeLines="0" w:afterLines="0" w:line="560" w:lineRule="exact"/>
              <w:ind w:firstLine="640"/>
              <w:rPr>
                <w:rFonts w:hint="eastAsia" w:ascii="FangSong_GB2312" w:hAnsi="FangSong_GB2312" w:eastAsia="FangSong_GB2312"/>
                <w:sz w:val="32"/>
                <w:szCs w:val="24"/>
              </w:rPr>
            </w:pPr>
            <w:r>
              <w:rPr>
                <w:rFonts w:hint="eastAsia" w:ascii="FangSong_GB2312" w:hAnsi="FangSong_GB2312" w:eastAsia="FangSong_GB2312"/>
                <w:sz w:val="32"/>
                <w:szCs w:val="24"/>
                <w:lang w:val="en-US" w:eastAsia="zh-CN"/>
              </w:rPr>
              <w:t>6</w:t>
            </w:r>
            <w:r>
              <w:rPr>
                <w:rFonts w:hint="eastAsia" w:ascii="FangSong_GB2312" w:hAnsi="FangSong_GB2312" w:eastAsia="FangSong_GB2312"/>
                <w:sz w:val="32"/>
                <w:szCs w:val="24"/>
              </w:rPr>
              <w:t>.社会保障和就业支出（类）行政事业单位养老支出（款）机关事业单位基本养老保险缴费支出（项）81.17万元。主要用于</w:t>
            </w:r>
            <w:r>
              <w:rPr>
                <w:rFonts w:hint="eastAsia" w:ascii="仿宋_GB2312" w:hAnsi="宋体" w:eastAsia="仿宋_GB2312"/>
                <w:sz w:val="32"/>
                <w:szCs w:val="24"/>
              </w:rPr>
              <w:t>中心基本养老保险缴费支出</w:t>
            </w:r>
            <w:r>
              <w:rPr>
                <w:rFonts w:hint="eastAsia" w:ascii="FangSong_GB2312" w:hAnsi="FangSong_GB2312" w:eastAsia="FangSong_GB2312"/>
                <w:sz w:val="32"/>
                <w:szCs w:val="24"/>
              </w:rPr>
              <w:t>。</w:t>
            </w:r>
          </w:p>
          <w:p>
            <w:pPr>
              <w:pStyle w:val="6"/>
              <w:numPr>
                <w:ilvl w:val="0"/>
                <w:numId w:val="0"/>
              </w:numPr>
              <w:pBdr>
                <w:bottom w:val="single" w:color="FFFFFF" w:sz="4" w:space="31"/>
              </w:pBdr>
              <w:snapToGrid w:val="0"/>
              <w:spacing w:beforeLines="0" w:afterLines="0" w:line="560" w:lineRule="exact"/>
              <w:ind w:firstLine="640"/>
              <w:rPr>
                <w:rFonts w:hint="eastAsia" w:ascii="华文仿宋" w:hAnsi="华文仿宋" w:eastAsia="华文仿宋"/>
                <w:sz w:val="32"/>
                <w:szCs w:val="24"/>
              </w:rPr>
            </w:pPr>
            <w:r>
              <w:rPr>
                <w:rFonts w:hint="eastAsia" w:ascii="黑体" w:hAnsi="黑体" w:eastAsia="黑体"/>
                <w:sz w:val="32"/>
                <w:szCs w:val="24"/>
              </w:rPr>
              <w:t>三、政府性基金预算财政拨款支出情况</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2022年度政府性基金支出0.00万元（不含市对区转移支付项目），与2021年预算</w:t>
            </w:r>
            <w:r>
              <w:rPr>
                <w:rFonts w:hint="eastAsia" w:ascii="FangSong_GB2312" w:hAnsi="FangSong_GB2312" w:eastAsia="FangSong_GB2312"/>
                <w:sz w:val="32"/>
                <w:szCs w:val="24"/>
                <w:lang w:eastAsia="zh-CN"/>
              </w:rPr>
              <w:t>持平</w:t>
            </w:r>
            <w:r>
              <w:rPr>
                <w:rFonts w:hint="eastAsia" w:ascii="FangSong_GB2312" w:hAnsi="FangSong_GB2312" w:eastAsia="FangSong_GB2312"/>
                <w:sz w:val="32"/>
                <w:szCs w:val="24"/>
              </w:rPr>
              <w:t>，主要是</w:t>
            </w:r>
            <w:r>
              <w:rPr>
                <w:rFonts w:hint="eastAsia" w:ascii="仿宋_GB2312" w:hAnsi="华文仿宋" w:eastAsia="仿宋_GB2312" w:cs="仿宋_GB2312"/>
                <w:sz w:val="32"/>
                <w:szCs w:val="32"/>
              </w:rPr>
              <w:t>由于</w:t>
            </w:r>
            <w:r>
              <w:rPr>
                <w:rFonts w:hint="eastAsia" w:ascii="仿宋_GB2312" w:hAnsi="Times New Roman" w:eastAsia="仿宋_GB2312" w:cs="仿宋_GB2312"/>
                <w:sz w:val="32"/>
                <w:szCs w:val="32"/>
              </w:rPr>
              <w:t>2022年没有使用政府性基金预算拨款安排支出</w:t>
            </w:r>
            <w:r>
              <w:rPr>
                <w:rFonts w:hint="eastAsia" w:ascii="FangSong_GB2312" w:hAnsi="FangSong_GB2312" w:eastAsia="FangSong_GB2312"/>
                <w:sz w:val="32"/>
                <w:szCs w:val="24"/>
              </w:rPr>
              <w:t>。</w:t>
            </w:r>
            <w:bookmarkStart w:id="0" w:name="_GoBack"/>
            <w:bookmarkEnd w:id="0"/>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黑体" w:hAnsi="黑体" w:eastAsia="黑体"/>
                <w:sz w:val="32"/>
                <w:szCs w:val="24"/>
              </w:rPr>
              <w:t>四、“三公”经费财政拨款预算情况</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厦门市财政审核中心2022年“三公”经费财政拨款预算数为0.45万元，其中：因公出国（境）经费0.00万元，公务接待费0.45万元，公务用车购置及运行费0.00万元。具体情况如下：</w:t>
            </w:r>
          </w:p>
          <w:p>
            <w:pPr>
              <w:pStyle w:val="6"/>
              <w:numPr>
                <w:ilvl w:val="0"/>
                <w:numId w:val="2"/>
              </w:numPr>
              <w:pBdr>
                <w:bottom w:val="single" w:color="FFFFFF" w:sz="4" w:space="31"/>
              </w:pBdr>
              <w:snapToGrid w:val="0"/>
              <w:spacing w:beforeLines="0" w:afterLines="0" w:line="560" w:lineRule="exact"/>
              <w:ind w:firstLine="640" w:firstLineChars="200"/>
              <w:rPr>
                <w:rFonts w:hint="eastAsia" w:ascii="楷体" w:hAnsi="楷体" w:eastAsia="楷体"/>
                <w:sz w:val="32"/>
                <w:szCs w:val="24"/>
              </w:rPr>
            </w:pPr>
            <w:r>
              <w:rPr>
                <w:rFonts w:hint="eastAsia" w:ascii="楷体" w:hAnsi="楷体" w:eastAsia="楷体"/>
                <w:sz w:val="32"/>
                <w:szCs w:val="24"/>
              </w:rPr>
              <w:t>因公出国（境）经费</w:t>
            </w:r>
          </w:p>
          <w:p>
            <w:pPr>
              <w:pStyle w:val="6"/>
              <w:numPr>
                <w:ilvl w:val="0"/>
                <w:numId w:val="0"/>
              </w:numPr>
              <w:pBdr>
                <w:bottom w:val="single" w:color="FFFFFF" w:sz="4" w:space="31"/>
              </w:pBdr>
              <w:snapToGrid w:val="0"/>
              <w:spacing w:beforeLines="0" w:afterLines="0" w:line="560" w:lineRule="exact"/>
              <w:ind w:firstLine="640" w:firstLineChars="200"/>
              <w:rPr>
                <w:rFonts w:hint="eastAsia" w:ascii="仿宋_GB2312" w:hAnsi="仿宋" w:eastAsia="仿宋_GB2312" w:cs="仿宋_GB2312"/>
                <w:sz w:val="32"/>
                <w:szCs w:val="32"/>
              </w:rPr>
            </w:pPr>
            <w:r>
              <w:rPr>
                <w:rFonts w:hint="eastAsia" w:ascii="FangSong_GB2312" w:hAnsi="FangSong_GB2312" w:eastAsia="FangSong_GB2312"/>
                <w:sz w:val="32"/>
                <w:szCs w:val="24"/>
              </w:rPr>
              <w:t>2022年预算安排0.00万元。与上年预算</w:t>
            </w:r>
            <w:r>
              <w:rPr>
                <w:rFonts w:hint="eastAsia" w:ascii="FangSong_GB2312" w:hAnsi="FangSong_GB2312" w:eastAsia="FangSong_GB2312"/>
                <w:sz w:val="32"/>
                <w:szCs w:val="24"/>
                <w:lang w:eastAsia="zh-CN"/>
              </w:rPr>
              <w:t>持平</w:t>
            </w:r>
            <w:r>
              <w:rPr>
                <w:rFonts w:hint="eastAsia" w:ascii="FangSong_GB2312" w:hAnsi="FangSong_GB2312" w:eastAsia="FangSong_GB2312"/>
                <w:sz w:val="32"/>
                <w:szCs w:val="24"/>
              </w:rPr>
              <w:t>，主要原因是:</w:t>
            </w:r>
            <w:r>
              <w:rPr>
                <w:rFonts w:hint="eastAsia" w:ascii="仿宋_GB2312" w:hAnsi="仿宋" w:eastAsia="仿宋_GB2312" w:cs="仿宋_GB2312"/>
                <w:sz w:val="32"/>
                <w:szCs w:val="32"/>
              </w:rPr>
              <w:t>本部门2022年未组织出国（境）团组。</w:t>
            </w:r>
          </w:p>
          <w:p>
            <w:pPr>
              <w:pStyle w:val="6"/>
              <w:numPr>
                <w:ilvl w:val="0"/>
                <w:numId w:val="0"/>
              </w:numPr>
              <w:pBdr>
                <w:bottom w:val="single" w:color="FFFFFF" w:sz="4" w:space="31"/>
              </w:pBdr>
              <w:snapToGrid w:val="0"/>
              <w:spacing w:beforeLines="0" w:afterLines="0" w:line="560" w:lineRule="exact"/>
              <w:ind w:firstLine="640" w:firstLineChars="200"/>
              <w:rPr>
                <w:rFonts w:hint="eastAsia" w:ascii="楷体" w:hAnsi="楷体" w:eastAsia="楷体"/>
                <w:sz w:val="32"/>
                <w:szCs w:val="24"/>
              </w:rPr>
            </w:pPr>
            <w:r>
              <w:rPr>
                <w:rFonts w:hint="eastAsia" w:ascii="楷体" w:hAnsi="楷体" w:eastAsia="楷体"/>
                <w:sz w:val="32"/>
                <w:szCs w:val="24"/>
              </w:rPr>
              <w:t>（二）公务接待费</w:t>
            </w:r>
          </w:p>
          <w:p>
            <w:pPr>
              <w:pStyle w:val="6"/>
              <w:numPr>
                <w:ilvl w:val="0"/>
                <w:numId w:val="0"/>
              </w:numPr>
              <w:pBdr>
                <w:bottom w:val="single" w:color="FFFFFF" w:sz="4" w:space="31"/>
              </w:pBdr>
              <w:snapToGrid w:val="0"/>
              <w:spacing w:beforeLines="0" w:afterLines="0" w:line="560" w:lineRule="exact"/>
              <w:ind w:firstLine="640" w:firstLineChars="200"/>
              <w:rPr>
                <w:rFonts w:hint="eastAsia" w:ascii="仿宋_GB2312" w:hAnsi="仿宋" w:eastAsia="仿宋_GB2312" w:cs="仿宋_GB2312"/>
                <w:sz w:val="32"/>
                <w:szCs w:val="32"/>
              </w:rPr>
            </w:pPr>
            <w:r>
              <w:rPr>
                <w:rFonts w:hint="eastAsia" w:ascii="FangSong_GB2312" w:hAnsi="FangSong_GB2312" w:eastAsia="FangSong_GB2312"/>
                <w:sz w:val="32"/>
                <w:szCs w:val="24"/>
              </w:rPr>
              <w:t>2022年预算安排0.45万元。主要用于</w:t>
            </w:r>
            <w:r>
              <w:rPr>
                <w:rFonts w:hint="eastAsia" w:ascii="仿宋_GB2312" w:hAnsi="仿宋" w:eastAsia="仿宋_GB2312" w:cs="仿宋_GB2312"/>
                <w:sz w:val="32"/>
                <w:szCs w:val="32"/>
              </w:rPr>
              <w:t>本部门</w:t>
            </w:r>
            <w:r>
              <w:rPr>
                <w:rFonts w:hint="eastAsia" w:ascii="仿宋_GB2312" w:hAnsi="ˎ̥" w:eastAsia="仿宋_GB2312" w:cs="宋体"/>
                <w:sz w:val="32"/>
                <w:szCs w:val="32"/>
              </w:rPr>
              <w:t>公务</w:t>
            </w:r>
            <w:r>
              <w:rPr>
                <w:rFonts w:hint="eastAsia" w:ascii="仿宋_GB2312" w:hAnsi="仿宋" w:eastAsia="仿宋_GB2312" w:cs="宋体"/>
                <w:sz w:val="32"/>
                <w:szCs w:val="32"/>
              </w:rPr>
              <w:t>接待活动。</w:t>
            </w:r>
            <w:r>
              <w:rPr>
                <w:rFonts w:hint="eastAsia" w:ascii="FangSong_GB2312" w:hAnsi="FangSong_GB2312" w:eastAsia="FangSong_GB2312"/>
                <w:sz w:val="32"/>
                <w:szCs w:val="24"/>
              </w:rPr>
              <w:t>与上年预算相比下降</w:t>
            </w:r>
            <w:r>
              <w:rPr>
                <w:rFonts w:hint="eastAsia" w:ascii="FangSong_GB2312" w:hAnsi="FangSong_GB2312" w:eastAsia="FangSong_GB2312"/>
                <w:sz w:val="32"/>
                <w:szCs w:val="24"/>
                <w:lang w:val="en-US" w:eastAsia="zh-CN"/>
              </w:rPr>
              <w:t>10</w:t>
            </w:r>
            <w:r>
              <w:rPr>
                <w:rFonts w:hint="eastAsia" w:ascii="FangSong_GB2312" w:hAnsi="FangSong_GB2312" w:eastAsia="FangSong_GB2312"/>
                <w:sz w:val="32"/>
                <w:szCs w:val="24"/>
              </w:rPr>
              <w:t>%，主要原因是:</w:t>
            </w:r>
            <w:r>
              <w:rPr>
                <w:rFonts w:hint="eastAsia" w:ascii="仿宋_GB2312" w:hAnsi="仿宋" w:eastAsia="仿宋_GB2312" w:cs="仿宋_GB2312"/>
                <w:sz w:val="32"/>
                <w:szCs w:val="32"/>
              </w:rPr>
              <w:t>公务接待活动减少。</w:t>
            </w:r>
          </w:p>
          <w:p>
            <w:pPr>
              <w:pStyle w:val="6"/>
              <w:numPr>
                <w:ilvl w:val="0"/>
                <w:numId w:val="0"/>
              </w:numPr>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华文仿宋" w:hAnsi="华文仿宋" w:eastAsia="华文仿宋"/>
                <w:sz w:val="32"/>
                <w:szCs w:val="24"/>
              </w:rPr>
              <w:t>（</w:t>
            </w:r>
            <w:r>
              <w:rPr>
                <w:rFonts w:hint="eastAsia" w:ascii="楷体" w:hAnsi="楷体" w:eastAsia="楷体"/>
                <w:sz w:val="32"/>
                <w:szCs w:val="24"/>
              </w:rPr>
              <w:t>三）公务用车购置及运行费</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lang w:eastAsia="zh-CN"/>
              </w:rPr>
            </w:pPr>
            <w:r>
              <w:rPr>
                <w:rFonts w:hint="eastAsia" w:ascii="FangSong_GB2312" w:hAnsi="FangSong_GB2312" w:eastAsia="FangSong_GB2312"/>
                <w:sz w:val="32"/>
                <w:szCs w:val="24"/>
              </w:rPr>
              <w:t>2022年预算安排0.00万元，其中：公务用车运行费0.00万元，主要用于公务用车燃油、维修、保险等方面支出；公务用车购置费0.00万元。与上年预算</w:t>
            </w:r>
            <w:r>
              <w:rPr>
                <w:rFonts w:hint="eastAsia" w:ascii="FangSong_GB2312" w:hAnsi="FangSong_GB2312" w:eastAsia="FangSong_GB2312"/>
                <w:sz w:val="32"/>
                <w:szCs w:val="24"/>
                <w:lang w:eastAsia="zh-CN"/>
              </w:rPr>
              <w:t>持平。</w:t>
            </w:r>
          </w:p>
          <w:p>
            <w:pPr>
              <w:pStyle w:val="6"/>
              <w:pBdr>
                <w:bottom w:val="single" w:color="FFFFFF" w:sz="4" w:space="31"/>
              </w:pBdr>
              <w:snapToGrid w:val="0"/>
              <w:spacing w:beforeLines="0" w:afterLines="0" w:line="560" w:lineRule="exact"/>
              <w:ind w:firstLine="640" w:firstLineChars="200"/>
              <w:rPr>
                <w:rFonts w:hint="eastAsia" w:ascii="黑体" w:hAnsi="黑体" w:eastAsia="黑体"/>
                <w:sz w:val="32"/>
                <w:szCs w:val="24"/>
              </w:rPr>
            </w:pPr>
            <w:r>
              <w:rPr>
                <w:rFonts w:hint="eastAsia" w:ascii="黑体" w:hAnsi="黑体" w:eastAsia="黑体"/>
                <w:sz w:val="32"/>
                <w:szCs w:val="24"/>
              </w:rPr>
              <w:t>五、其他重要事项的情况说明</w:t>
            </w:r>
          </w:p>
          <w:p>
            <w:pPr>
              <w:pStyle w:val="6"/>
              <w:pBdr>
                <w:bottom w:val="single" w:color="FFFFFF" w:sz="4" w:space="31"/>
              </w:pBdr>
              <w:snapToGrid w:val="0"/>
              <w:spacing w:beforeLines="0" w:afterLines="0" w:line="560" w:lineRule="exact"/>
              <w:ind w:firstLine="640" w:firstLineChars="200"/>
              <w:rPr>
                <w:rFonts w:hint="eastAsia" w:ascii="楷体" w:hAnsi="楷体" w:eastAsia="楷体"/>
                <w:sz w:val="32"/>
                <w:szCs w:val="24"/>
              </w:rPr>
            </w:pPr>
            <w:r>
              <w:rPr>
                <w:rFonts w:hint="eastAsia" w:ascii="楷体" w:hAnsi="楷体" w:eastAsia="楷体"/>
                <w:sz w:val="32"/>
                <w:szCs w:val="24"/>
              </w:rPr>
              <w:t>（一）机关运行经费</w:t>
            </w:r>
          </w:p>
          <w:p>
            <w:pPr>
              <w:pStyle w:val="6"/>
              <w:pBdr>
                <w:bottom w:val="single" w:color="FFFFFF" w:sz="4" w:space="31"/>
              </w:pBdr>
              <w:snapToGrid w:val="0"/>
              <w:spacing w:beforeLines="0" w:afterLines="0" w:line="560" w:lineRule="exact"/>
              <w:ind w:firstLine="640" w:firstLineChars="200"/>
              <w:rPr>
                <w:rFonts w:hint="eastAsia" w:ascii="仿宋_GB2312" w:hAnsi="宋体" w:eastAsia="仿宋_GB2312"/>
                <w:sz w:val="32"/>
                <w:szCs w:val="24"/>
              </w:rPr>
            </w:pPr>
            <w:r>
              <w:rPr>
                <w:rFonts w:hint="eastAsia" w:ascii="FangSong_GB2312" w:hAnsi="FangSong_GB2312" w:eastAsia="FangSong_GB2312"/>
                <w:sz w:val="32"/>
                <w:szCs w:val="24"/>
              </w:rPr>
              <w:t>2022年厦门市财政审核中心的机关运行经费财政拨款预算</w:t>
            </w:r>
            <w:r>
              <w:rPr>
                <w:rFonts w:hint="eastAsia" w:ascii="FangSong_GB2312" w:hAnsi="FangSong_GB2312" w:eastAsia="FangSong_GB2312"/>
                <w:color w:val="auto"/>
                <w:sz w:val="32"/>
                <w:szCs w:val="24"/>
                <w:highlight w:val="none"/>
                <w:lang w:val="en-US" w:eastAsia="zh-CN"/>
              </w:rPr>
              <w:t>224.31</w:t>
            </w:r>
            <w:r>
              <w:rPr>
                <w:rFonts w:hint="eastAsia" w:ascii="FangSong_GB2312" w:hAnsi="FangSong_GB2312" w:eastAsia="FangSong_GB2312"/>
                <w:sz w:val="32"/>
                <w:szCs w:val="24"/>
              </w:rPr>
              <w:t>万元，比2021年预算</w:t>
            </w:r>
            <w:r>
              <w:rPr>
                <w:rFonts w:hint="eastAsia" w:ascii="FangSong_GB2312" w:hAnsi="FangSong_GB2312" w:eastAsia="FangSong_GB2312"/>
                <w:sz w:val="32"/>
                <w:szCs w:val="24"/>
                <w:lang w:eastAsia="zh-CN"/>
              </w:rPr>
              <w:t>减少</w:t>
            </w:r>
            <w:r>
              <w:rPr>
                <w:rFonts w:hint="eastAsia" w:ascii="FangSong_GB2312" w:hAnsi="FangSong_GB2312" w:eastAsia="FangSong_GB2312"/>
                <w:sz w:val="32"/>
                <w:szCs w:val="24"/>
                <w:lang w:val="en-US" w:eastAsia="zh-CN"/>
              </w:rPr>
              <w:t>68.73</w:t>
            </w:r>
            <w:r>
              <w:rPr>
                <w:rFonts w:hint="eastAsia" w:ascii="FangSong_GB2312" w:hAnsi="FangSong_GB2312" w:eastAsia="FangSong_GB2312"/>
                <w:sz w:val="32"/>
                <w:szCs w:val="24"/>
              </w:rPr>
              <w:t>万元，</w:t>
            </w:r>
            <w:r>
              <w:rPr>
                <w:rFonts w:hint="eastAsia" w:ascii="FangSong_GB2312" w:hAnsi="FangSong_GB2312" w:eastAsia="FangSong_GB2312"/>
                <w:sz w:val="32"/>
                <w:szCs w:val="24"/>
                <w:lang w:eastAsia="zh-CN"/>
              </w:rPr>
              <w:t>下降</w:t>
            </w:r>
            <w:r>
              <w:rPr>
                <w:rFonts w:hint="eastAsia" w:ascii="FangSong_GB2312" w:hAnsi="FangSong_GB2312" w:eastAsia="FangSong_GB2312"/>
                <w:sz w:val="32"/>
                <w:szCs w:val="24"/>
                <w:lang w:val="en-US" w:eastAsia="zh-CN"/>
              </w:rPr>
              <w:t>23.45</w:t>
            </w:r>
            <w:r>
              <w:rPr>
                <w:rFonts w:hint="eastAsia" w:ascii="FangSong_GB2312" w:hAnsi="FangSong_GB2312" w:eastAsia="FangSong_GB2312"/>
                <w:sz w:val="32"/>
                <w:szCs w:val="24"/>
              </w:rPr>
              <w:t>%。</w:t>
            </w:r>
            <w:r>
              <w:rPr>
                <w:rFonts w:hint="eastAsia" w:ascii="仿宋_GB2312" w:hAnsi="宋体" w:eastAsia="仿宋_GB2312"/>
                <w:sz w:val="32"/>
                <w:szCs w:val="24"/>
              </w:rPr>
              <w:t>主要原因是:机关运行经费</w:t>
            </w:r>
            <w:r>
              <w:rPr>
                <w:rFonts w:hint="eastAsia" w:ascii="仿宋_GB2312" w:hAnsi="宋体" w:eastAsia="仿宋_GB2312"/>
                <w:sz w:val="32"/>
                <w:szCs w:val="24"/>
                <w:lang w:eastAsia="zh-CN"/>
              </w:rPr>
              <w:t>减少</w:t>
            </w:r>
            <w:r>
              <w:rPr>
                <w:rFonts w:hint="eastAsia" w:ascii="仿宋_GB2312" w:hAnsi="宋体" w:eastAsia="仿宋_GB2312"/>
                <w:sz w:val="32"/>
                <w:szCs w:val="24"/>
              </w:rPr>
              <w:t>。</w:t>
            </w:r>
          </w:p>
          <w:p>
            <w:pPr>
              <w:pStyle w:val="6"/>
              <w:pBdr>
                <w:bottom w:val="single" w:color="FFFFFF" w:sz="4" w:space="31"/>
              </w:pBdr>
              <w:snapToGrid w:val="0"/>
              <w:spacing w:beforeLines="0" w:afterLines="0" w:line="560" w:lineRule="exact"/>
              <w:ind w:firstLine="640" w:firstLineChars="200"/>
              <w:rPr>
                <w:rFonts w:hint="eastAsia" w:ascii="楷体" w:hAnsi="楷体" w:eastAsia="楷体"/>
                <w:sz w:val="32"/>
                <w:szCs w:val="24"/>
              </w:rPr>
            </w:pPr>
            <w:r>
              <w:rPr>
                <w:rFonts w:hint="eastAsia" w:ascii="楷体" w:hAnsi="楷体" w:eastAsia="楷体"/>
                <w:sz w:val="32"/>
                <w:szCs w:val="24"/>
              </w:rPr>
              <w:t>（二）政府采购情况</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2022年厦门市财政审核中心政府采购预算总额1,621.50万元，其中：政府采购货物预算11.50万元，政府采购工程预算0.00万元，政府采购服务预算1,610.00万元。</w:t>
            </w:r>
          </w:p>
          <w:p>
            <w:pPr>
              <w:pStyle w:val="6"/>
              <w:pBdr>
                <w:bottom w:val="single" w:color="FFFFFF" w:sz="4" w:space="31"/>
              </w:pBdr>
              <w:snapToGrid w:val="0"/>
              <w:spacing w:beforeLines="0" w:afterLines="0" w:line="560" w:lineRule="exact"/>
              <w:ind w:firstLine="640" w:firstLineChars="200"/>
              <w:rPr>
                <w:rFonts w:hint="eastAsia" w:ascii="楷体" w:hAnsi="楷体" w:eastAsia="楷体"/>
                <w:sz w:val="32"/>
                <w:szCs w:val="24"/>
              </w:rPr>
            </w:pPr>
            <w:r>
              <w:rPr>
                <w:rFonts w:hint="eastAsia" w:ascii="楷体" w:hAnsi="楷体" w:eastAsia="楷体"/>
                <w:sz w:val="32"/>
                <w:szCs w:val="24"/>
              </w:rPr>
              <w:t>（三）国有资产占有使用情况</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截至2021年12月31日，厦门市财政审核中心共有车辆</w:t>
            </w:r>
            <w:r>
              <w:rPr>
                <w:rFonts w:hint="eastAsia" w:ascii="FangSong_GB2312" w:hAnsi="FangSong_GB2312" w:eastAsia="FangSong_GB2312"/>
                <w:color w:val="auto"/>
                <w:sz w:val="32"/>
                <w:szCs w:val="24"/>
                <w:lang w:val="en-US" w:eastAsia="zh-CN"/>
              </w:rPr>
              <w:t>0</w:t>
            </w:r>
            <w:r>
              <w:rPr>
                <w:rFonts w:hint="eastAsia" w:ascii="FangSong_GB2312" w:hAnsi="FangSong_GB2312" w:eastAsia="FangSong_GB2312"/>
                <w:sz w:val="32"/>
                <w:szCs w:val="24"/>
              </w:rPr>
              <w:t>辆，单位价值50万以上通用设备</w:t>
            </w:r>
            <w:r>
              <w:rPr>
                <w:rFonts w:hint="eastAsia" w:ascii="FangSong_GB2312" w:hAnsi="FangSong_GB2312" w:eastAsia="FangSong_GB2312"/>
                <w:color w:val="auto"/>
                <w:sz w:val="32"/>
                <w:szCs w:val="24"/>
                <w:lang w:val="en-US" w:eastAsia="zh-CN"/>
              </w:rPr>
              <w:t>0</w:t>
            </w:r>
            <w:r>
              <w:rPr>
                <w:rFonts w:hint="eastAsia" w:ascii="FangSong_GB2312" w:hAnsi="FangSong_GB2312" w:eastAsia="FangSong_GB2312"/>
                <w:sz w:val="32"/>
                <w:szCs w:val="24"/>
              </w:rPr>
              <w:t>台（套），单位价值100万以上专用设备</w:t>
            </w:r>
            <w:r>
              <w:rPr>
                <w:rFonts w:hint="eastAsia" w:ascii="FangSong_GB2312" w:hAnsi="FangSong_GB2312" w:eastAsia="FangSong_GB2312"/>
                <w:color w:val="auto"/>
                <w:sz w:val="32"/>
                <w:szCs w:val="24"/>
                <w:lang w:val="en-US" w:eastAsia="zh-CN"/>
              </w:rPr>
              <w:t>0</w:t>
            </w:r>
            <w:r>
              <w:rPr>
                <w:rFonts w:hint="eastAsia" w:ascii="FangSong_GB2312" w:hAnsi="FangSong_GB2312" w:eastAsia="FangSong_GB2312"/>
                <w:sz w:val="32"/>
                <w:szCs w:val="24"/>
              </w:rPr>
              <w:t>台（套）。</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楷体" w:hAnsi="楷体" w:eastAsia="楷体"/>
                <w:sz w:val="32"/>
                <w:szCs w:val="24"/>
              </w:rPr>
              <w:t>（四）绩效目标设置情况</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厦门市财政审核中心2022年实行绩效目标管理的</w:t>
            </w:r>
            <w:r>
              <w:rPr>
                <w:rFonts w:hint="eastAsia" w:ascii="FangSong_GB2312" w:hAnsi="FangSong_GB2312" w:eastAsia="FangSong_GB2312"/>
                <w:sz w:val="32"/>
                <w:szCs w:val="24"/>
                <w:highlight w:val="none"/>
              </w:rPr>
              <w:t>二级项目0个，</w:t>
            </w:r>
            <w:r>
              <w:rPr>
                <w:rFonts w:hint="eastAsia" w:ascii="FangSong_GB2312" w:hAnsi="FangSong_GB2312" w:eastAsia="FangSong_GB2312"/>
                <w:sz w:val="32"/>
                <w:szCs w:val="24"/>
              </w:rPr>
              <w:t>涉及一般公共预算拨款0.00万元、政府性基金预算拨款0.00万元。</w:t>
            </w:r>
          </w:p>
          <w:p>
            <w:pPr>
              <w:pStyle w:val="6"/>
              <w:pBdr>
                <w:bottom w:val="single" w:color="FFFFFF" w:sz="4" w:space="31"/>
              </w:pBdr>
              <w:snapToGrid w:val="0"/>
              <w:spacing w:beforeLines="0" w:afterLines="0" w:line="560" w:lineRule="exact"/>
              <w:ind w:firstLine="2240" w:firstLineChars="700"/>
              <w:rPr>
                <w:rFonts w:hint="eastAsia" w:ascii="FangSong_GB2312" w:hAnsi="FangSong_GB2312" w:eastAsia="FangSong_GB2312"/>
                <w:sz w:val="32"/>
                <w:szCs w:val="24"/>
              </w:rPr>
            </w:pPr>
          </w:p>
          <w:p>
            <w:pPr>
              <w:pStyle w:val="6"/>
              <w:pBdr>
                <w:bottom w:val="single" w:color="FFFFFF" w:sz="4" w:space="31"/>
              </w:pBdr>
              <w:snapToGrid w:val="0"/>
              <w:spacing w:beforeLines="0" w:afterLines="0" w:line="560" w:lineRule="exact"/>
              <w:jc w:val="center"/>
              <w:rPr>
                <w:rFonts w:hint="eastAsia" w:ascii="黑体" w:hAnsi="黑体" w:eastAsia="黑体"/>
                <w:sz w:val="32"/>
                <w:szCs w:val="24"/>
              </w:rPr>
            </w:pPr>
          </w:p>
          <w:p>
            <w:pPr>
              <w:pStyle w:val="6"/>
              <w:pBdr>
                <w:bottom w:val="single" w:color="FFFFFF" w:sz="4" w:space="31"/>
              </w:pBdr>
              <w:snapToGrid w:val="0"/>
              <w:spacing w:beforeLines="0" w:afterLines="0" w:line="560" w:lineRule="exact"/>
              <w:jc w:val="center"/>
              <w:rPr>
                <w:rFonts w:hint="eastAsia" w:ascii="黑体" w:hAnsi="黑体" w:eastAsia="黑体"/>
                <w:sz w:val="32"/>
                <w:szCs w:val="24"/>
              </w:rPr>
            </w:pPr>
            <w:r>
              <w:rPr>
                <w:rFonts w:hint="eastAsia" w:ascii="黑体" w:hAnsi="黑体" w:eastAsia="黑体"/>
                <w:sz w:val="32"/>
                <w:szCs w:val="24"/>
              </w:rPr>
              <w:t>第三部分  名词解释</w:t>
            </w:r>
          </w:p>
          <w:p>
            <w:pPr>
              <w:pStyle w:val="6"/>
              <w:pBdr>
                <w:bottom w:val="single" w:color="FFFFFF" w:sz="4" w:space="31"/>
              </w:pBdr>
              <w:snapToGrid w:val="0"/>
              <w:spacing w:beforeLines="0" w:afterLines="0" w:line="560" w:lineRule="exact"/>
              <w:jc w:val="center"/>
              <w:rPr>
                <w:rFonts w:hint="eastAsia" w:ascii="黑体" w:hAnsi="黑体" w:eastAsia="黑体"/>
                <w:sz w:val="32"/>
                <w:szCs w:val="24"/>
              </w:rPr>
            </w:pP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KaiTi_GB2312" w:hAnsi="KaiTi_GB2312" w:eastAsia="KaiTi_GB2312"/>
                <w:sz w:val="32"/>
                <w:szCs w:val="24"/>
              </w:rPr>
              <w:t>一、基本支出：</w:t>
            </w:r>
            <w:r>
              <w:rPr>
                <w:rFonts w:hint="eastAsia" w:ascii="FangSong_GB2312" w:hAnsi="FangSong_GB2312" w:eastAsia="FangSong_GB2312"/>
                <w:sz w:val="32"/>
                <w:szCs w:val="24"/>
              </w:rPr>
              <w:t>指为保障机构正常运转、完成日常工作任务而发生的人员支出、对个人和家庭的补助支出和公用支出。</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lang w:eastAsia="zh-CN"/>
              </w:rPr>
            </w:pPr>
            <w:r>
              <w:rPr>
                <w:rFonts w:hint="eastAsia" w:ascii="KaiTi_GB2312" w:hAnsi="KaiTi_GB2312" w:eastAsia="KaiTi_GB2312"/>
                <w:sz w:val="32"/>
                <w:szCs w:val="24"/>
              </w:rPr>
              <w:t>二、项目支出：</w:t>
            </w:r>
            <w:r>
              <w:rPr>
                <w:rFonts w:hint="eastAsia" w:ascii="FangSong_GB2312" w:hAnsi="FangSong_GB2312" w:eastAsia="FangSong_GB2312"/>
                <w:sz w:val="32"/>
                <w:szCs w:val="24"/>
              </w:rPr>
              <w:t>指在基本支出之外为完成特定行政任务和事业发展目标所发生的支出，包括部门专项、发展经费和基建项目</w:t>
            </w:r>
            <w:r>
              <w:rPr>
                <w:rFonts w:hint="eastAsia" w:ascii="FangSong_GB2312" w:hAnsi="FangSong_GB2312" w:eastAsia="FangSong_GB2312"/>
                <w:sz w:val="32"/>
                <w:szCs w:val="24"/>
                <w:lang w:eastAsia="zh-CN"/>
              </w:rPr>
              <w:t>。</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KaiTi_GB2312" w:hAnsi="KaiTi_GB2312" w:eastAsia="KaiTi_GB2312"/>
                <w:sz w:val="32"/>
                <w:szCs w:val="24"/>
              </w:rPr>
              <w:t>三、“三公”经费：</w:t>
            </w:r>
            <w:r>
              <w:rPr>
                <w:rFonts w:hint="eastAsia" w:ascii="FangSong_GB2312" w:hAnsi="FangSong_GB2312" w:eastAsia="FangSong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pBdr>
                <w:bottom w:val="single" w:color="FFFFFF" w:sz="4" w:space="31"/>
              </w:pBdr>
              <w:snapToGrid w:val="0"/>
              <w:spacing w:beforeLines="0" w:afterLines="0" w:line="560" w:lineRule="exact"/>
              <w:ind w:firstLine="640" w:firstLineChars="200"/>
              <w:rPr>
                <w:rFonts w:hint="eastAsia" w:ascii="FangSong_GB2312" w:hAnsi="FangSong_GB2312" w:eastAsia="FangSong_GB2312"/>
                <w:sz w:val="32"/>
                <w:szCs w:val="24"/>
              </w:rPr>
            </w:pPr>
            <w:r>
              <w:rPr>
                <w:rFonts w:hint="eastAsia" w:ascii="KaiTi_GB2312" w:hAnsi="KaiTi_GB2312" w:eastAsia="KaiTi_GB2312"/>
                <w:sz w:val="32"/>
                <w:szCs w:val="24"/>
              </w:rPr>
              <w:t>四、机关运行经费：</w:t>
            </w:r>
            <w:r>
              <w:rPr>
                <w:rFonts w:hint="eastAsia" w:ascii="FangSong_GB2312" w:hAnsi="FangSong_GB2312" w:eastAsia="FangSong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beforeLines="0" w:afterLines="0" w:line="540" w:lineRule="exact"/>
              <w:jc w:val="center"/>
              <w:rPr>
                <w:rFonts w:hint="eastAsia" w:ascii="黑体" w:hAnsi="黑体" w:eastAsia="黑体"/>
                <w:sz w:val="32"/>
                <w:szCs w:val="24"/>
              </w:rPr>
            </w:pPr>
            <w:r>
              <w:rPr>
                <w:rFonts w:hint="eastAsia" w:ascii="黑体" w:hAnsi="黑体" w:eastAsia="黑体"/>
                <w:sz w:val="32"/>
                <w:szCs w:val="24"/>
              </w:rPr>
              <w:t>第四部分  2022年部门预算附表</w:t>
            </w:r>
          </w:p>
          <w:p>
            <w:pPr>
              <w:spacing w:beforeLines="0" w:afterLines="0" w:line="540" w:lineRule="exact"/>
              <w:jc w:val="center"/>
              <w:rPr>
                <w:rFonts w:hint="eastAsia" w:ascii="黑体" w:hAnsi="黑体" w:eastAsia="黑体"/>
                <w:sz w:val="32"/>
                <w:szCs w:val="24"/>
              </w:rPr>
            </w:pPr>
          </w:p>
          <w:p>
            <w:pPr>
              <w:spacing w:beforeLines="0" w:afterLines="0" w:line="540" w:lineRule="exact"/>
              <w:ind w:firstLine="640" w:firstLineChars="200"/>
              <w:rPr>
                <w:rFonts w:hint="eastAsia" w:ascii="FangSong_GB2312" w:hAnsi="FangSong_GB2312" w:eastAsia="FangSong_GB2312"/>
                <w:sz w:val="32"/>
                <w:szCs w:val="24"/>
              </w:rPr>
            </w:pPr>
            <w:r>
              <w:rPr>
                <w:rFonts w:hint="eastAsia" w:ascii="FangSong_GB2312" w:hAnsi="FangSong_GB2312" w:eastAsia="FangSong_GB2312"/>
                <w:sz w:val="32"/>
                <w:szCs w:val="24"/>
              </w:rPr>
              <w:t>一、部门收支预算总体情况表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二、部门收入预算总体情况表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三、部门支出预算总体情况表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四、财政拨款收支预算总体情况表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五、一般公共预算支出情况表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六、一般公共预算基本支出情况表（经济分类款级科目）</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七、一般公共预算“三公”经费支出情况表</w:t>
            </w:r>
          </w:p>
          <w:p>
            <w:pPr>
              <w:spacing w:beforeLines="0" w:afterLines="0" w:line="540" w:lineRule="exact"/>
              <w:rPr>
                <w:rFonts w:hint="eastAsia" w:ascii="FangSong_GB2312" w:hAnsi="FangSong_GB2312" w:eastAsia="FangSong_GB2312"/>
                <w:sz w:val="32"/>
                <w:szCs w:val="24"/>
              </w:rPr>
            </w:pPr>
            <w:r>
              <w:rPr>
                <w:rFonts w:hint="eastAsia" w:ascii="FangSong_GB2312" w:hAnsi="FangSong_GB2312" w:eastAsia="FangSong_GB2312"/>
                <w:sz w:val="32"/>
                <w:szCs w:val="24"/>
              </w:rPr>
              <w:t>　　八、政府性基金预算支出情况表</w:t>
            </w:r>
            <w:r>
              <w:rPr>
                <w:rFonts w:hint="eastAsia" w:ascii="仿宋_GB2312" w:hAnsi="仿宋_GB2312" w:eastAsia="仿宋_GB2312"/>
                <w:sz w:val="32"/>
                <w:lang w:eastAsia="zh-CN"/>
              </w:rPr>
              <w:t>（暂无数据）</w:t>
            </w:r>
          </w:p>
          <w:p>
            <w:pPr>
              <w:spacing w:beforeLines="0" w:afterLines="0" w:line="540" w:lineRule="exact"/>
              <w:ind w:firstLine="640"/>
              <w:rPr>
                <w:rFonts w:hint="eastAsia" w:ascii="FangSong_GB2312" w:hAnsi="FangSong_GB2312" w:eastAsia="FangSong_GB2312"/>
                <w:sz w:val="32"/>
                <w:szCs w:val="24"/>
              </w:rPr>
            </w:pPr>
            <w:r>
              <w:rPr>
                <w:rFonts w:hint="eastAsia" w:ascii="FangSong_GB2312" w:hAnsi="FangSong_GB2312" w:eastAsia="FangSong_GB2312"/>
                <w:sz w:val="32"/>
                <w:szCs w:val="24"/>
              </w:rPr>
              <w:t>九、市对区转移支付项目支出预算表</w:t>
            </w:r>
            <w:r>
              <w:rPr>
                <w:rFonts w:hint="eastAsia" w:ascii="仿宋_GB2312" w:hAnsi="仿宋_GB2312" w:eastAsia="仿宋_GB2312"/>
                <w:sz w:val="32"/>
                <w:lang w:eastAsia="zh-CN"/>
              </w:rPr>
              <w:t>（暂无数据）</w:t>
            </w:r>
          </w:p>
          <w:p>
            <w:pPr>
              <w:spacing w:beforeLines="0" w:afterLines="0" w:line="540" w:lineRule="exact"/>
              <w:ind w:firstLine="640"/>
              <w:rPr>
                <w:rFonts w:hint="eastAsia" w:ascii="FangSong_GB2312" w:hAnsi="FangSong_GB2312" w:eastAsia="FangSong_GB2312"/>
                <w:sz w:val="32"/>
                <w:szCs w:val="24"/>
                <w:highlight w:val="none"/>
                <w:lang w:eastAsia="zh-CN"/>
              </w:rPr>
            </w:pPr>
          </w:p>
          <w:p>
            <w:pPr>
              <w:pStyle w:val="6"/>
              <w:pBdr>
                <w:bottom w:val="single" w:color="FFFFFF" w:sz="4" w:space="31"/>
              </w:pBdr>
              <w:snapToGrid w:val="0"/>
              <w:spacing w:beforeLines="0" w:afterLines="0" w:line="560" w:lineRule="exact"/>
              <w:ind w:firstLine="2240" w:firstLineChars="700"/>
              <w:rPr>
                <w:rFonts w:hint="eastAsia" w:ascii="FangSong_GB2312" w:hAnsi="FangSong_GB2312" w:eastAsia="FangSong_GB2312"/>
                <w:sz w:val="32"/>
                <w:szCs w:val="24"/>
                <w:lang w:eastAsia="zh-CN"/>
              </w:rPr>
            </w:pP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6"/>
              <w:pBdr>
                <w:bottom w:val="single" w:color="FFFFFF" w:sz="4" w:space="31"/>
              </w:pBdr>
              <w:snapToGrid w:val="0"/>
              <w:spacing w:beforeLines="0" w:afterLines="0" w:line="560" w:lineRule="exact"/>
              <w:ind w:firstLine="2240" w:firstLineChars="700"/>
              <w:rPr>
                <w:rFonts w:hint="eastAsia" w:ascii="FangSong_GB2312" w:hAnsi="FangSong_GB2312" w:eastAsia="FangSong_GB2312"/>
                <w:sz w:val="32"/>
                <w:szCs w:val="24"/>
                <w:lang w:eastAsia="zh-CN"/>
              </w:rPr>
            </w:pPr>
          </w:p>
        </w:tc>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6"/>
              <w:pBdr>
                <w:bottom w:val="single" w:color="FFFFFF" w:sz="4" w:space="31"/>
              </w:pBdr>
              <w:snapToGrid w:val="0"/>
              <w:spacing w:beforeLines="0" w:afterLines="0" w:line="560" w:lineRule="exact"/>
              <w:ind w:firstLine="2240" w:firstLineChars="700"/>
              <w:rPr>
                <w:rFonts w:hint="eastAsia" w:ascii="FangSong_GB2312" w:hAnsi="FangSong_GB2312" w:eastAsia="FangSong_GB2312"/>
                <w:sz w:val="32"/>
                <w:szCs w:val="24"/>
                <w:lang w:eastAsia="zh-CN"/>
              </w:rPr>
            </w:pPr>
          </w:p>
        </w:tc>
      </w:tr>
    </w:tbl>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FangSong_GB2312">
    <w:altName w:val="仿宋_GB2312"/>
    <w:panose1 w:val="00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1" w:csb1="00000000"/>
  </w:font>
  <w:font w:name="KaiTi_GB2312">
    <w:altName w:val="楷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8732C"/>
    <w:multiLevelType w:val="singleLevel"/>
    <w:tmpl w:val="F478732C"/>
    <w:lvl w:ilvl="0" w:tentative="0">
      <w:start w:val="1"/>
      <w:numFmt w:val="chineseCounting"/>
      <w:suff w:val="nothing"/>
      <w:lvlText w:val="（%1）"/>
      <w:lvlJc w:val="left"/>
      <w:rPr>
        <w:rFonts w:hint="eastAsia"/>
      </w:rPr>
    </w:lvl>
  </w:abstractNum>
  <w:abstractNum w:abstractNumId="1">
    <w:nsid w:val="16B28CC5"/>
    <w:multiLevelType w:val="singleLevel"/>
    <w:tmpl w:val="16B28CC5"/>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E6919"/>
    <w:rsid w:val="008E0FAE"/>
    <w:rsid w:val="00E0566B"/>
    <w:rsid w:val="01F65F26"/>
    <w:rsid w:val="050F4CA6"/>
    <w:rsid w:val="065D347E"/>
    <w:rsid w:val="07845384"/>
    <w:rsid w:val="07E3429A"/>
    <w:rsid w:val="08F07DD0"/>
    <w:rsid w:val="08F51600"/>
    <w:rsid w:val="095738CC"/>
    <w:rsid w:val="09BE4CA1"/>
    <w:rsid w:val="09D711C9"/>
    <w:rsid w:val="09E779CE"/>
    <w:rsid w:val="0A30409D"/>
    <w:rsid w:val="0CFD19AE"/>
    <w:rsid w:val="0D742469"/>
    <w:rsid w:val="0DF3771D"/>
    <w:rsid w:val="0DF60D0C"/>
    <w:rsid w:val="0E687574"/>
    <w:rsid w:val="0EB27687"/>
    <w:rsid w:val="10C55909"/>
    <w:rsid w:val="11621DD1"/>
    <w:rsid w:val="11934629"/>
    <w:rsid w:val="11CB6098"/>
    <w:rsid w:val="120A4371"/>
    <w:rsid w:val="12B43E24"/>
    <w:rsid w:val="130F7A9F"/>
    <w:rsid w:val="13B26F94"/>
    <w:rsid w:val="140425E6"/>
    <w:rsid w:val="17EF155E"/>
    <w:rsid w:val="18C05A02"/>
    <w:rsid w:val="18DB188A"/>
    <w:rsid w:val="1981659F"/>
    <w:rsid w:val="19B32214"/>
    <w:rsid w:val="19FF14FF"/>
    <w:rsid w:val="1A0F2D22"/>
    <w:rsid w:val="1A340CBF"/>
    <w:rsid w:val="1A586495"/>
    <w:rsid w:val="1AD26C02"/>
    <w:rsid w:val="1B09044A"/>
    <w:rsid w:val="1B423DEB"/>
    <w:rsid w:val="1C17056E"/>
    <w:rsid w:val="1E697C6F"/>
    <w:rsid w:val="1ECE4BF1"/>
    <w:rsid w:val="22CB1C50"/>
    <w:rsid w:val="24A64038"/>
    <w:rsid w:val="26FE51A7"/>
    <w:rsid w:val="27932B51"/>
    <w:rsid w:val="27E0231A"/>
    <w:rsid w:val="2B5F4968"/>
    <w:rsid w:val="2CC51381"/>
    <w:rsid w:val="2DD2416A"/>
    <w:rsid w:val="2E384D82"/>
    <w:rsid w:val="2F812ACF"/>
    <w:rsid w:val="2FBA6D75"/>
    <w:rsid w:val="305E374D"/>
    <w:rsid w:val="30F96EA4"/>
    <w:rsid w:val="322F7663"/>
    <w:rsid w:val="33042AC4"/>
    <w:rsid w:val="330D705B"/>
    <w:rsid w:val="351856AE"/>
    <w:rsid w:val="3530050F"/>
    <w:rsid w:val="357606B2"/>
    <w:rsid w:val="37DD5CE4"/>
    <w:rsid w:val="389C7E3E"/>
    <w:rsid w:val="38D56C59"/>
    <w:rsid w:val="392D0BD2"/>
    <w:rsid w:val="398977D7"/>
    <w:rsid w:val="3A144893"/>
    <w:rsid w:val="3A634641"/>
    <w:rsid w:val="3B391F70"/>
    <w:rsid w:val="3B9C2FF2"/>
    <w:rsid w:val="3CAE6A45"/>
    <w:rsid w:val="3DCA7DB1"/>
    <w:rsid w:val="3E1C40BD"/>
    <w:rsid w:val="3E8B60B1"/>
    <w:rsid w:val="3EB714A5"/>
    <w:rsid w:val="3F520FEB"/>
    <w:rsid w:val="413017F5"/>
    <w:rsid w:val="41811BD8"/>
    <w:rsid w:val="41DC18C1"/>
    <w:rsid w:val="429D351B"/>
    <w:rsid w:val="43895CD4"/>
    <w:rsid w:val="439C279D"/>
    <w:rsid w:val="44B07A68"/>
    <w:rsid w:val="45627B05"/>
    <w:rsid w:val="46BE6BB8"/>
    <w:rsid w:val="4745382B"/>
    <w:rsid w:val="477913EF"/>
    <w:rsid w:val="499F4B69"/>
    <w:rsid w:val="4AA768D4"/>
    <w:rsid w:val="4B6D2F06"/>
    <w:rsid w:val="4C4C40A4"/>
    <w:rsid w:val="4CF67AAD"/>
    <w:rsid w:val="4D43402A"/>
    <w:rsid w:val="4E592683"/>
    <w:rsid w:val="4F3E60C5"/>
    <w:rsid w:val="507815E4"/>
    <w:rsid w:val="50CC3ADE"/>
    <w:rsid w:val="51265CF2"/>
    <w:rsid w:val="5137606F"/>
    <w:rsid w:val="51E6666C"/>
    <w:rsid w:val="55B44A4F"/>
    <w:rsid w:val="56764D74"/>
    <w:rsid w:val="588B26A9"/>
    <w:rsid w:val="58B765C7"/>
    <w:rsid w:val="58FD06E2"/>
    <w:rsid w:val="5B78276A"/>
    <w:rsid w:val="5C05229D"/>
    <w:rsid w:val="5C7F5D39"/>
    <w:rsid w:val="5CA122DC"/>
    <w:rsid w:val="5D8103E4"/>
    <w:rsid w:val="5DE379E6"/>
    <w:rsid w:val="5EF059F2"/>
    <w:rsid w:val="60337CD5"/>
    <w:rsid w:val="60C02CD9"/>
    <w:rsid w:val="61F85286"/>
    <w:rsid w:val="633E6919"/>
    <w:rsid w:val="63F642C7"/>
    <w:rsid w:val="64EC432B"/>
    <w:rsid w:val="65CC64AF"/>
    <w:rsid w:val="66440F1F"/>
    <w:rsid w:val="66D422C1"/>
    <w:rsid w:val="66D757B7"/>
    <w:rsid w:val="67A74F40"/>
    <w:rsid w:val="68373837"/>
    <w:rsid w:val="6956339C"/>
    <w:rsid w:val="6B882308"/>
    <w:rsid w:val="6B8E3AE6"/>
    <w:rsid w:val="6C43745E"/>
    <w:rsid w:val="6C5C2D18"/>
    <w:rsid w:val="6E164761"/>
    <w:rsid w:val="6EA60EBE"/>
    <w:rsid w:val="6FB859F2"/>
    <w:rsid w:val="70F82A3C"/>
    <w:rsid w:val="71414490"/>
    <w:rsid w:val="721120EC"/>
    <w:rsid w:val="72A03632"/>
    <w:rsid w:val="7456581D"/>
    <w:rsid w:val="74F148E8"/>
    <w:rsid w:val="75535E0C"/>
    <w:rsid w:val="7664697D"/>
    <w:rsid w:val="76FC245A"/>
    <w:rsid w:val="77671D03"/>
    <w:rsid w:val="777C3F8C"/>
    <w:rsid w:val="779702FA"/>
    <w:rsid w:val="77A42C57"/>
    <w:rsid w:val="78767A95"/>
    <w:rsid w:val="795F772C"/>
    <w:rsid w:val="7A0502E9"/>
    <w:rsid w:val="7A8E2288"/>
    <w:rsid w:val="7AD53156"/>
    <w:rsid w:val="7B0C57E2"/>
    <w:rsid w:val="7B515955"/>
    <w:rsid w:val="7BF64BD4"/>
    <w:rsid w:val="7C2536E8"/>
    <w:rsid w:val="7C707F54"/>
    <w:rsid w:val="7D045C03"/>
    <w:rsid w:val="7ECA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nhideWhenUsed/>
    <w:qFormat/>
    <w:uiPriority w:val="99"/>
    <w:pPr>
      <w:widowControl/>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2022-03-01T02:28:00Z</dcterms:created>
  <dc:creator>DELL</dc:creator>
  <cp:lastModifiedBy>DELL</cp:lastModifiedBy>
  <dcterms:modified xsi:type="dcterms:W3CDTF">2023-09-28T01:56:12Z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7E67973193254D7FBD4479D01C9B31C1</vt:lpwstr>
  </property>
</Properties>
</file>