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textAlignment w:val="auto"/>
        <w:rPr>
          <w:rFonts w:ascii="黑体" w:hAnsi="黑体" w:eastAsia="黑体" w:cs="FZXiaoBiaoSong-B05S"/>
          <w:sz w:val="44"/>
          <w:szCs w:val="44"/>
        </w:rPr>
      </w:pPr>
    </w:p>
    <w:p>
      <w:pPr>
        <w:keepNext w:val="0"/>
        <w:keepLines w:val="0"/>
        <w:pageBreakBefore w:val="0"/>
        <w:widowControl w:val="0"/>
        <w:kinsoku/>
        <w:wordWrap/>
        <w:overflowPunct/>
        <w:topLinePunct w:val="0"/>
        <w:autoSpaceDE w:val="0"/>
        <w:autoSpaceDN w:val="0"/>
        <w:bidi w:val="0"/>
        <w:adjustRightInd w:val="0"/>
        <w:spacing w:beforeLines="0" w:afterLines="0" w:line="600" w:lineRule="exact"/>
        <w:jc w:val="center"/>
        <w:textAlignment w:val="auto"/>
        <w:rPr>
          <w:rFonts w:hint="eastAsia" w:ascii="方正小标宋简体" w:hAnsi="Times New Roman" w:eastAsia="方正小标宋简体"/>
          <w:color w:val="auto"/>
          <w:kern w:val="0"/>
          <w:sz w:val="44"/>
          <w:szCs w:val="24"/>
        </w:rPr>
      </w:pPr>
      <w:r>
        <w:rPr>
          <w:rFonts w:hint="eastAsia" w:ascii="方正小标宋简体" w:hAnsi="Times New Roman" w:eastAsia="方正小标宋简体"/>
          <w:color w:val="auto"/>
          <w:kern w:val="0"/>
          <w:sz w:val="44"/>
          <w:szCs w:val="24"/>
        </w:rPr>
        <w:t>2022年中共厦门市委台港澳工作办公室</w:t>
      </w:r>
    </w:p>
    <w:p>
      <w:pPr>
        <w:keepNext w:val="0"/>
        <w:keepLines w:val="0"/>
        <w:pageBreakBefore w:val="0"/>
        <w:widowControl w:val="0"/>
        <w:kinsoku/>
        <w:wordWrap/>
        <w:overflowPunct/>
        <w:topLinePunct w:val="0"/>
        <w:autoSpaceDE w:val="0"/>
        <w:autoSpaceDN w:val="0"/>
        <w:bidi w:val="0"/>
        <w:adjustRightInd w:val="0"/>
        <w:spacing w:beforeLines="0" w:afterLines="0" w:line="600" w:lineRule="exact"/>
        <w:jc w:val="center"/>
        <w:textAlignment w:val="auto"/>
        <w:rPr>
          <w:rFonts w:hint="eastAsia" w:ascii="方正小标宋简体" w:hAnsi="Times New Roman" w:eastAsia="方正小标宋简体"/>
          <w:color w:val="auto"/>
          <w:kern w:val="0"/>
          <w:sz w:val="44"/>
          <w:szCs w:val="24"/>
        </w:rPr>
      </w:pPr>
      <w:r>
        <w:rPr>
          <w:rFonts w:hint="eastAsia" w:ascii="方正小标宋简体" w:hAnsi="Times New Roman" w:eastAsia="方正小标宋简体"/>
          <w:color w:val="auto"/>
          <w:kern w:val="0"/>
          <w:sz w:val="44"/>
          <w:szCs w:val="24"/>
        </w:rPr>
        <w:t>部门预算说明</w:t>
      </w:r>
    </w:p>
    <w:p>
      <w:pPr>
        <w:keepNext w:val="0"/>
        <w:keepLines w:val="0"/>
        <w:pageBreakBefore w:val="0"/>
        <w:widowControl w:val="0"/>
        <w:kinsoku/>
        <w:wordWrap/>
        <w:overflowPunct/>
        <w:topLinePunct w:val="0"/>
        <w:bidi w:val="0"/>
        <w:spacing w:line="600" w:lineRule="exact"/>
        <w:jc w:val="center"/>
        <w:textAlignment w:val="auto"/>
        <w:rPr>
          <w:rFonts w:ascii="仿宋" w:hAnsi="仿宋" w:eastAsia="仿宋"/>
          <w:sz w:val="32"/>
          <w:szCs w:val="32"/>
        </w:rPr>
      </w:pPr>
    </w:p>
    <w:p>
      <w:pPr>
        <w:keepNext w:val="0"/>
        <w:keepLines w:val="0"/>
        <w:pageBreakBefore w:val="0"/>
        <w:widowControl w:val="0"/>
        <w:kinsoku/>
        <w:wordWrap/>
        <w:overflowPunct/>
        <w:topLinePunct w:val="0"/>
        <w:bidi w:val="0"/>
        <w:spacing w:line="600" w:lineRule="exact"/>
        <w:jc w:val="center"/>
        <w:textAlignment w:val="auto"/>
        <w:rPr>
          <w:rFonts w:ascii="黑体" w:hAnsi="黑体" w:eastAsia="黑体"/>
          <w:sz w:val="32"/>
          <w:szCs w:val="32"/>
        </w:rPr>
      </w:pPr>
      <w:r>
        <w:rPr>
          <w:rFonts w:hint="eastAsia" w:ascii="黑体" w:hAnsi="黑体" w:eastAsia="黑体"/>
          <w:sz w:val="32"/>
          <w:szCs w:val="32"/>
        </w:rPr>
        <w:t>目   录</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第一部分  部门概况</w:t>
      </w:r>
    </w:p>
    <w:p>
      <w:pPr>
        <w:keepNext w:val="0"/>
        <w:keepLines w:val="0"/>
        <w:pageBreakBefore w:val="0"/>
        <w:widowControl w:val="0"/>
        <w:kinsoku/>
        <w:wordWrap/>
        <w:overflowPunct/>
        <w:topLinePunct w:val="0"/>
        <w:autoSpaceDE w:val="0"/>
        <w:autoSpaceDN w:val="0"/>
        <w:bidi w:val="0"/>
        <w:adjustRightInd w:val="0"/>
        <w:spacing w:beforeLines="0" w:afterLines="0" w:line="600" w:lineRule="exact"/>
        <w:ind w:firstLine="640" w:firstLineChars="200"/>
        <w:jc w:val="both"/>
        <w:textAlignment w:val="auto"/>
        <w:rPr>
          <w:rFonts w:hint="eastAsia" w:ascii="仿宋_GB2312" w:hAnsi="??" w:eastAsia="仿宋_GB2312"/>
          <w:color w:val="auto"/>
          <w:kern w:val="0"/>
          <w:sz w:val="32"/>
          <w:szCs w:val="24"/>
        </w:rPr>
      </w:pPr>
      <w:r>
        <w:rPr>
          <w:rFonts w:hint="eastAsia" w:ascii="仿宋_GB2312" w:hAnsi="??" w:eastAsia="仿宋_GB2312"/>
          <w:color w:val="auto"/>
          <w:kern w:val="0"/>
          <w:sz w:val="32"/>
          <w:szCs w:val="24"/>
        </w:rPr>
        <w:t>一、部门主要职责</w:t>
      </w:r>
    </w:p>
    <w:p>
      <w:pPr>
        <w:keepNext w:val="0"/>
        <w:keepLines w:val="0"/>
        <w:pageBreakBefore w:val="0"/>
        <w:widowControl w:val="0"/>
        <w:kinsoku/>
        <w:wordWrap/>
        <w:overflowPunct/>
        <w:topLinePunct w:val="0"/>
        <w:autoSpaceDE w:val="0"/>
        <w:autoSpaceDN w:val="0"/>
        <w:bidi w:val="0"/>
        <w:adjustRightInd w:val="0"/>
        <w:spacing w:beforeLines="0" w:afterLines="0" w:line="600" w:lineRule="exact"/>
        <w:ind w:firstLine="640" w:firstLineChars="200"/>
        <w:jc w:val="both"/>
        <w:textAlignment w:val="auto"/>
        <w:rPr>
          <w:rFonts w:hint="eastAsia" w:ascii="仿宋_GB2312" w:hAnsi="??" w:eastAsia="仿宋_GB2312"/>
          <w:color w:val="auto"/>
          <w:kern w:val="0"/>
          <w:sz w:val="32"/>
          <w:szCs w:val="24"/>
        </w:rPr>
      </w:pPr>
      <w:r>
        <w:rPr>
          <w:rFonts w:hint="eastAsia" w:ascii="仿宋_GB2312" w:hAnsi="??" w:eastAsia="仿宋_GB2312"/>
          <w:color w:val="auto"/>
          <w:kern w:val="0"/>
          <w:sz w:val="32"/>
          <w:szCs w:val="24"/>
        </w:rPr>
        <w:t>二、部门预算单位基本情况</w:t>
      </w:r>
    </w:p>
    <w:p>
      <w:pPr>
        <w:keepNext w:val="0"/>
        <w:keepLines w:val="0"/>
        <w:pageBreakBefore w:val="0"/>
        <w:widowControl w:val="0"/>
        <w:kinsoku/>
        <w:wordWrap/>
        <w:overflowPunct/>
        <w:topLinePunct w:val="0"/>
        <w:autoSpaceDE w:val="0"/>
        <w:autoSpaceDN w:val="0"/>
        <w:bidi w:val="0"/>
        <w:adjustRightInd w:val="0"/>
        <w:spacing w:beforeLines="0" w:afterLines="0" w:line="600" w:lineRule="exact"/>
        <w:ind w:firstLine="640" w:firstLineChars="200"/>
        <w:jc w:val="both"/>
        <w:textAlignment w:val="auto"/>
        <w:rPr>
          <w:rFonts w:hint="eastAsia" w:ascii="仿宋_GB2312" w:hAnsi="??" w:eastAsia="仿宋_GB2312"/>
          <w:color w:val="auto"/>
          <w:kern w:val="0"/>
          <w:sz w:val="32"/>
          <w:szCs w:val="24"/>
        </w:rPr>
      </w:pPr>
      <w:r>
        <w:rPr>
          <w:rFonts w:hint="eastAsia" w:ascii="仿宋_GB2312" w:hAnsi="??" w:eastAsia="仿宋_GB2312"/>
          <w:color w:val="auto"/>
          <w:kern w:val="0"/>
          <w:sz w:val="32"/>
          <w:szCs w:val="24"/>
        </w:rPr>
        <w:t>三、部门主要工作任务</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第二部分  2022年部门预算说明</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一、2022年部门预算收支总体情况</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二、一般公共预算财政拨款支出预算情况</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三、政府性基金预算财政拨款支出情况</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四、“三公”经费财政拨款预算情况</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五、其他重要事项的情况说明</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第三部分  名词解释</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第四部分  2022年部门预算附表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一、部门收支预算总体情况表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二、部门收入预算总体情况表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三、部门支出预算总体情况表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四、财政拨款收支预算总体情况表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一般公共预算支出情况表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六、一般公共预算基本支出情况表（经济分类款级科目）</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九、市对区转移支付支出预算表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十、部门整体支出绩效目标表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十一、一级项目绩效目标表</w:t>
      </w: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both"/>
        <w:textAlignment w:val="auto"/>
        <w:rPr>
          <w:rFonts w:ascii="仿宋" w:hAnsi="仿宋" w:eastAsia="仿宋"/>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rPr>
          <w:rFonts w:ascii="黑体" w:hAnsi="黑体" w:eastAsia="黑体"/>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textAlignment w:val="auto"/>
        <w:rPr>
          <w:rFonts w:ascii="黑体" w:hAnsi="黑体" w:eastAsia="黑体"/>
          <w:sz w:val="32"/>
          <w:szCs w:val="32"/>
        </w:rPr>
      </w:pP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黑体" w:hAnsi="黑体" w:eastAsia="黑体"/>
          <w:sz w:val="32"/>
          <w:szCs w:val="32"/>
        </w:rPr>
      </w:pPr>
      <w:r>
        <w:rPr>
          <w:rFonts w:hint="eastAsia" w:ascii="黑体" w:hAnsi="黑体" w:eastAsia="黑体"/>
          <w:sz w:val="32"/>
          <w:szCs w:val="32"/>
        </w:rPr>
        <w:t>第一部分  部门概况</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一、部门主要职责</w:t>
      </w:r>
    </w:p>
    <w:p>
      <w:pPr>
        <w:keepNext w:val="0"/>
        <w:keepLines w:val="0"/>
        <w:pageBreakBefore w:val="0"/>
        <w:widowControl w:val="0"/>
        <w:tabs>
          <w:tab w:val="left" w:pos="1985"/>
        </w:tabs>
        <w:kinsoku/>
        <w:wordWrap/>
        <w:overflowPunct/>
        <w:topLinePunct w:val="0"/>
        <w:bidi w:val="0"/>
        <w:spacing w:line="600" w:lineRule="exact"/>
        <w:ind w:firstLine="480" w:firstLineChars="15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sz w:val="32"/>
          <w:szCs w:val="32"/>
          <w:lang w:val="zh-CN"/>
        </w:rPr>
        <w:t>中共厦门市委台港澳工作办公室部门主要职责是：</w:t>
      </w:r>
    </w:p>
    <w:p>
      <w:pPr>
        <w:keepNext w:val="0"/>
        <w:keepLines w:val="0"/>
        <w:pageBreakBefore w:val="0"/>
        <w:widowControl w:val="0"/>
        <w:tabs>
          <w:tab w:val="left" w:pos="1985"/>
        </w:tabs>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贯彻执行党中央、国务院关于对台湾、香港、澳门工作的方针、政策和法律法规。</w:t>
      </w:r>
    </w:p>
    <w:p>
      <w:pPr>
        <w:keepNext w:val="0"/>
        <w:keepLines w:val="0"/>
        <w:pageBreakBefore w:val="0"/>
        <w:widowControl w:val="0"/>
        <w:tabs>
          <w:tab w:val="left" w:pos="1985"/>
        </w:tabs>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CN"/>
        </w:rPr>
        <w:t>组织、指导、管理、协调市直各部门、各区和社会团体的对台港澳工作。</w:t>
      </w:r>
    </w:p>
    <w:p>
      <w:pPr>
        <w:keepNext w:val="0"/>
        <w:keepLines w:val="0"/>
        <w:pageBreakBefore w:val="0"/>
        <w:widowControl w:val="0"/>
        <w:tabs>
          <w:tab w:val="left" w:pos="1985"/>
        </w:tabs>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(三)组织拟订涉及台港澳事务的有关法规草案及政策规定。</w:t>
      </w:r>
    </w:p>
    <w:p>
      <w:pPr>
        <w:keepNext w:val="0"/>
        <w:keepLines w:val="0"/>
        <w:pageBreakBefore w:val="0"/>
        <w:widowControl w:val="0"/>
        <w:tabs>
          <w:tab w:val="left" w:pos="1985"/>
        </w:tabs>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zh-CN"/>
        </w:rPr>
        <w:t>归口管理有关厦台通邮、通航、通商工作和同金门通水、通电、通气、通桥等相关工作。</w:t>
      </w:r>
    </w:p>
    <w:p>
      <w:pPr>
        <w:keepNext w:val="0"/>
        <w:keepLines w:val="0"/>
        <w:pageBreakBefore w:val="0"/>
        <w:widowControl w:val="0"/>
        <w:tabs>
          <w:tab w:val="left" w:pos="1985"/>
        </w:tabs>
        <w:kinsoku/>
        <w:wordWrap/>
        <w:overflowPunct/>
        <w:topLinePunct w:val="0"/>
        <w:bidi w:val="0"/>
        <w:spacing w:line="60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(五)</w:t>
      </w:r>
      <w:r>
        <w:rPr>
          <w:rFonts w:hint="eastAsia" w:ascii="仿宋_GB2312" w:hAnsi="仿宋_GB2312" w:eastAsia="仿宋_GB2312" w:cs="仿宋_GB2312"/>
          <w:sz w:val="32"/>
          <w:szCs w:val="32"/>
          <w:lang w:val="zh-CN"/>
        </w:rPr>
        <w:t>会同有关部门协调处理台胞、台商投诉求助工作。</w:t>
      </w:r>
    </w:p>
    <w:p>
      <w:pPr>
        <w:keepNext w:val="0"/>
        <w:keepLines w:val="0"/>
        <w:pageBreakBefore w:val="0"/>
        <w:widowControl w:val="0"/>
        <w:tabs>
          <w:tab w:val="left" w:pos="1985"/>
        </w:tabs>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zh-CN"/>
        </w:rPr>
        <w:t>协调、指导、管理厦台各个领域的交流与合作相关工作。</w:t>
      </w:r>
    </w:p>
    <w:p>
      <w:pPr>
        <w:keepNext w:val="0"/>
        <w:keepLines w:val="0"/>
        <w:pageBreakBefore w:val="0"/>
        <w:widowControl w:val="0"/>
        <w:tabs>
          <w:tab w:val="left" w:pos="1985"/>
        </w:tabs>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zh-CN"/>
        </w:rPr>
        <w:t>归口管理我市与香港、澳门特别行政区政府的工作联系及业务往来，促进厦港、厦澳各领域的交流合作。</w:t>
      </w:r>
    </w:p>
    <w:p>
      <w:pPr>
        <w:keepNext w:val="0"/>
        <w:keepLines w:val="0"/>
        <w:pageBreakBefore w:val="0"/>
        <w:widowControl w:val="0"/>
        <w:tabs>
          <w:tab w:val="left" w:pos="1985"/>
        </w:tabs>
        <w:kinsoku/>
        <w:wordWrap/>
        <w:overflowPunct/>
        <w:topLinePunct w:val="0"/>
        <w:bidi w:val="0"/>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w:t>
      </w:r>
      <w:r>
        <w:rPr>
          <w:rFonts w:hint="eastAsia" w:ascii="仿宋_GB2312" w:hAnsi="仿宋_GB2312" w:eastAsia="仿宋_GB2312" w:cs="仿宋_GB2312"/>
          <w:sz w:val="32"/>
          <w:szCs w:val="32"/>
          <w:lang w:val="zh-CN"/>
        </w:rPr>
        <w:t>负责全市台湾渔船停泊点和避风点管理工作；负责协调处理涉台的重大事件、重大活动和突发性事件。</w:t>
      </w:r>
      <w:r>
        <w:rPr>
          <w:rFonts w:hint="eastAsia" w:ascii="仿宋_GB2312" w:hAnsi="仿宋_GB2312" w:eastAsia="仿宋_GB2312" w:cs="仿宋_GB2312"/>
          <w:sz w:val="32"/>
          <w:szCs w:val="32"/>
        </w:rPr>
        <w:t xml:space="preserve"> </w:t>
      </w:r>
    </w:p>
    <w:p>
      <w:pPr>
        <w:keepNext w:val="0"/>
        <w:keepLines w:val="0"/>
        <w:pageBreakBefore w:val="0"/>
        <w:widowControl w:val="0"/>
        <w:tabs>
          <w:tab w:val="left" w:pos="1985"/>
        </w:tabs>
        <w:kinsoku/>
        <w:wordWrap/>
        <w:overflowPunct/>
        <w:topLinePunct w:val="0"/>
        <w:bidi w:val="0"/>
        <w:spacing w:line="600" w:lineRule="exact"/>
        <w:ind w:firstLine="480" w:firstLineChars="1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（九）其他相关事务。</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二、部门预算单位基本情况</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中共厦门市委台港澳工作办公室（厦门市人民政府台港澳事务办公室），内设秘书处、联络处、宣传处、经济处、三通处、投诉协调处、港澳事务处等7个职能处室，</w:t>
      </w:r>
      <w:r>
        <w:rPr>
          <w:rFonts w:hint="eastAsia" w:ascii="仿宋_GB2312" w:hAnsi="仿宋_GB2312" w:eastAsia="仿宋_GB2312" w:cs="仿宋_GB2312"/>
          <w:sz w:val="32"/>
          <w:szCs w:val="32"/>
        </w:rPr>
        <w:t>及2个基层预算单位，其中：列入2022年部门预算编制范围的单位详细情况见下表:</w:t>
      </w:r>
    </w:p>
    <w:tbl>
      <w:tblPr>
        <w:tblStyle w:val="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55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shd w:val="clear" w:color="auto" w:fill="auto"/>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2551" w:type="dxa"/>
            <w:shd w:val="clear" w:color="auto" w:fill="auto"/>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经费性质</w:t>
            </w:r>
          </w:p>
        </w:tc>
        <w:tc>
          <w:tcPr>
            <w:tcW w:w="1701" w:type="dxa"/>
            <w:shd w:val="clear" w:color="auto" w:fill="auto"/>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人员编制数</w:t>
            </w:r>
          </w:p>
        </w:tc>
        <w:tc>
          <w:tcPr>
            <w:tcW w:w="1701" w:type="dxa"/>
            <w:shd w:val="clear" w:color="auto" w:fill="auto"/>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shd w:val="clear" w:color="auto" w:fill="auto"/>
            <w:vAlign w:val="center"/>
          </w:tcPr>
          <w:p>
            <w:pPr>
              <w:keepNext w:val="0"/>
              <w:keepLines w:val="0"/>
              <w:pageBreakBefore w:val="0"/>
              <w:widowControl w:val="0"/>
              <w:kinsoku/>
              <w:wordWrap/>
              <w:overflowPunct/>
              <w:topLinePunct w:val="0"/>
              <w:bidi w:val="0"/>
              <w:spacing w:line="600" w:lineRule="exact"/>
              <w:ind w:left="2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中共厦门市委台港澳工作办公室</w:t>
            </w:r>
          </w:p>
        </w:tc>
        <w:tc>
          <w:tcPr>
            <w:tcW w:w="2551" w:type="dxa"/>
            <w:shd w:val="clear" w:color="auto" w:fill="auto"/>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行政机关单位</w:t>
            </w:r>
          </w:p>
        </w:tc>
        <w:tc>
          <w:tcPr>
            <w:tcW w:w="1701" w:type="dxa"/>
            <w:shd w:val="clear" w:color="auto" w:fill="auto"/>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w:t>
            </w:r>
          </w:p>
        </w:tc>
        <w:tc>
          <w:tcPr>
            <w:tcW w:w="1701" w:type="dxa"/>
            <w:shd w:val="clear" w:color="auto" w:fill="auto"/>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shd w:val="clear" w:color="auto" w:fill="auto"/>
            <w:vAlign w:val="center"/>
          </w:tcPr>
          <w:p>
            <w:pPr>
              <w:keepNext w:val="0"/>
              <w:keepLines w:val="0"/>
              <w:pageBreakBefore w:val="0"/>
              <w:widowControl w:val="0"/>
              <w:kinsoku/>
              <w:wordWrap/>
              <w:overflowPunct/>
              <w:topLinePunct w:val="0"/>
              <w:bidi w:val="0"/>
              <w:spacing w:line="600" w:lineRule="exact"/>
              <w:ind w:left="2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福建省厦门台湾渔民事务工作站</w:t>
            </w:r>
          </w:p>
        </w:tc>
        <w:tc>
          <w:tcPr>
            <w:tcW w:w="2551" w:type="dxa"/>
            <w:shd w:val="clear" w:color="auto" w:fill="auto"/>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参公管理事业单位</w:t>
            </w:r>
          </w:p>
        </w:tc>
        <w:tc>
          <w:tcPr>
            <w:tcW w:w="1701" w:type="dxa"/>
            <w:shd w:val="clear" w:color="auto" w:fill="auto"/>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1701" w:type="dxa"/>
            <w:shd w:val="clear" w:color="auto" w:fill="auto"/>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w:t>
            </w:r>
          </w:p>
        </w:tc>
      </w:tr>
    </w:tbl>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三、部门主要工作任务</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2022年，市委台港澳办将深入贯彻落实习近平总书记关于台港澳工作的重要批示精神，大力推进台胞台企登陆第一家园的“第一站”建设。</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一、突出以产促融。用好重要涉台展会平台进行对台招商，推进重点台企增资扩产。推进厦门两岸数字经济融合发展示范区等建设，</w:t>
      </w:r>
      <w:r>
        <w:rPr>
          <w:rFonts w:hint="eastAsia" w:ascii="仿宋_GB2312" w:hAnsi="仿宋_GB2312" w:eastAsia="仿宋_GB2312" w:cs="仿宋_GB2312"/>
          <w:sz w:val="32"/>
          <w:szCs w:val="32"/>
        </w:rPr>
        <w:t>提升两岸区域性金融服务中心</w:t>
      </w:r>
      <w:r>
        <w:rPr>
          <w:rFonts w:hint="eastAsia" w:ascii="仿宋_GB2312" w:hAnsi="仿宋_GB2312" w:eastAsia="仿宋_GB2312" w:cs="仿宋_GB2312"/>
          <w:bCs/>
          <w:sz w:val="32"/>
          <w:szCs w:val="32"/>
        </w:rPr>
        <w:t>。在技术改进、上市融资、转型升级等方面大力支持台企。</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二、突出以通促融。</w:t>
      </w:r>
      <w:r>
        <w:rPr>
          <w:rFonts w:hint="eastAsia" w:ascii="仿宋_GB2312" w:hAnsi="仿宋_GB2312" w:eastAsia="仿宋_GB2312" w:cs="仿宋_GB2312"/>
          <w:sz w:val="32"/>
          <w:szCs w:val="32"/>
        </w:rPr>
        <w:t>推进邮轮码头和五通码头智慧口岸建设。推动厦金海运快件专区对接，做大厦金直航贸易规模，推动金门-刘五店-大嶝航线常态化运营。推进厦金通电、通气、通桥工程建设。</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三、突出以惠促融。</w:t>
      </w:r>
      <w:r>
        <w:rPr>
          <w:rFonts w:hint="eastAsia" w:ascii="仿宋_GB2312" w:hAnsi="仿宋_GB2312" w:eastAsia="仿宋_GB2312" w:cs="仿宋_GB2312"/>
          <w:sz w:val="32"/>
          <w:szCs w:val="32"/>
        </w:rPr>
        <w:t>落实落细各级惠台利民措施，探索落实台胞台企同等待遇的新举措。为台胞提供更多就业岗位，支持两岸青年就业创业基地建设。</w:t>
      </w:r>
      <w:r>
        <w:rPr>
          <w:rFonts w:hint="eastAsia" w:ascii="仿宋_GB2312" w:hAnsi="仿宋_GB2312" w:eastAsia="仿宋_GB2312" w:cs="仿宋_GB2312"/>
          <w:bCs/>
          <w:sz w:val="32"/>
          <w:szCs w:val="32"/>
        </w:rPr>
        <w:t>继续提升涉台服务热线和台胞台企服务专窗的服务质量。</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四、突出以情促融。</w:t>
      </w:r>
      <w:r>
        <w:rPr>
          <w:rFonts w:hint="eastAsia" w:ascii="仿宋_GB2312" w:hAnsi="仿宋_GB2312" w:eastAsia="仿宋_GB2312" w:cs="仿宋_GB2312"/>
          <w:sz w:val="32"/>
          <w:szCs w:val="32"/>
        </w:rPr>
        <w:t>继续办好海峡论坛、工博会、文博会等重大涉台活动。深化厦台在教育、科技、卫生、体育等各领域的交流合作。</w:t>
      </w:r>
    </w:p>
    <w:p>
      <w:pPr>
        <w:keepNext w:val="0"/>
        <w:keepLines w:val="0"/>
        <w:pageBreakBefore w:val="0"/>
        <w:widowControl w:val="0"/>
        <w:kinsoku/>
        <w:wordWrap/>
        <w:overflowPunct/>
        <w:topLinePunct w:val="0"/>
        <w:bidi w:val="0"/>
        <w:spacing w:line="600" w:lineRule="exact"/>
        <w:ind w:firstLine="640" w:firstLineChars="200"/>
        <w:textAlignment w:val="auto"/>
        <w:rPr>
          <w:rFonts w:ascii="黑体" w:hAnsi="黑体" w:eastAsia="黑体"/>
          <w:sz w:val="32"/>
          <w:szCs w:val="32"/>
        </w:rPr>
      </w:pPr>
      <w:r>
        <w:rPr>
          <w:rFonts w:hint="eastAsia" w:ascii="仿宋_GB2312" w:hAnsi="仿宋_GB2312" w:eastAsia="仿宋_GB2312" w:cs="仿宋_GB2312"/>
          <w:bCs/>
          <w:sz w:val="32"/>
          <w:szCs w:val="32"/>
        </w:rPr>
        <w:t>五、突出协同发展，打造对港澳交流合作先行区域。</w:t>
      </w:r>
      <w:r>
        <w:rPr>
          <w:rFonts w:hint="eastAsia" w:ascii="仿宋_GB2312" w:hAnsi="仿宋_GB2312" w:eastAsia="仿宋_GB2312" w:cs="仿宋_GB2312"/>
          <w:sz w:val="32"/>
          <w:szCs w:val="32"/>
        </w:rPr>
        <w:t>支持厦门企业和港澳企业共同参与“一带一路”和粤港澳大湾区建设。协助港澳特区政府在厦举办交流活动。加大厦港澳青少年交流力度，支持港澳青少年来厦研学旅行、学习实习和就业创业。</w:t>
      </w: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hint="eastAsia" w:ascii="黑体" w:hAnsi="黑体" w:eastAsia="黑体"/>
          <w:sz w:val="32"/>
          <w:szCs w:val="32"/>
        </w:rPr>
      </w:pPr>
      <w:r>
        <w:rPr>
          <w:rFonts w:hint="eastAsia" w:ascii="黑体" w:hAnsi="黑体" w:eastAsia="黑体"/>
          <w:sz w:val="32"/>
          <w:szCs w:val="32"/>
        </w:rPr>
        <w:t>第二部分  2022年部门预算说明</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一、2022年部门预算收支总体情况</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根据预算管理的有关规定，部门的全部收入和支出均纳入部门预算管理。</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（一）中共厦门市委台港澳工作办公室2022年基本支出收入预算为2663.88万元，比2021年预算数增加193.41万元，增长7.83％，具体情况如下：</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1.财政拨款收入2663.88万元，其中一般公共预算拨款收入2663.88万元，政府性基金拨款收入0.00万元，国有资本经营预算拨款收入0.00万元；</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2.财政专户管理资金收入0.00万元；</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3.事业收入0.00万元；</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4.事业单位经营收入0.00万元；</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5.上级补助收入0.00万元；</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6.附属单位上缴收入0.00万元；</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7.其他收入0.00万元；</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8.上年结转结余0.00万元。</w:t>
      </w:r>
    </w:p>
    <w:tbl>
      <w:tblPr>
        <w:tblStyle w:val="4"/>
        <w:tblW w:w="8684" w:type="dxa"/>
        <w:tblInd w:w="5" w:type="dxa"/>
        <w:tblLayout w:type="fixed"/>
        <w:tblCellMar>
          <w:top w:w="0" w:type="dxa"/>
          <w:left w:w="0" w:type="dxa"/>
          <w:bottom w:w="0" w:type="dxa"/>
          <w:right w:w="0" w:type="dxa"/>
        </w:tblCellMar>
      </w:tblPr>
      <w:tblGrid>
        <w:gridCol w:w="8684"/>
      </w:tblGrid>
      <w:tr>
        <w:tblPrEx>
          <w:tblLayout w:type="fixed"/>
          <w:tblCellMar>
            <w:top w:w="0" w:type="dxa"/>
            <w:left w:w="0" w:type="dxa"/>
            <w:bottom w:w="0" w:type="dxa"/>
            <w:right w:w="0" w:type="dxa"/>
          </w:tblCellMar>
        </w:tblPrEx>
        <w:trPr>
          <w:trHeight w:val="3263"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（二）中共厦门市委台港澳工作办公室2022年基本支出预算为2663.88万元（不含市对区转移支付项目），比2021年预算数增加193.41万元，增长7.83％，具体情况如下：</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1.基本支出2,663.88万元，其中，人员支出2,406.11万元，公用支出257.77万元；</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2.非财政拨款支出0.00万元。</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（三）中共厦门市委台港澳工作办公室2022年市对区转移支付项目预算为0.00万元。</w:t>
            </w:r>
          </w:p>
        </w:tc>
      </w:tr>
      <w:tr>
        <w:tblPrEx>
          <w:tblLayout w:type="fixed"/>
          <w:tblCellMar>
            <w:top w:w="0" w:type="dxa"/>
            <w:left w:w="0" w:type="dxa"/>
            <w:bottom w:w="0" w:type="dxa"/>
            <w:right w:w="0" w:type="dxa"/>
          </w:tblCellMar>
        </w:tblPrEx>
        <w:trPr>
          <w:trHeight w:val="1872"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二、一般公共预算财政拨款支出预算情况</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2022年度一般公共预算支出2663.88万元（不含市对区转移支付项目），比2021年预算数增加193.41万元，增长7.83%，主要是人员新增，增加人员工资各类津补贴、公用支出、养老医疗保险支出等。支出项目包括：</w:t>
            </w:r>
          </w:p>
        </w:tc>
      </w:tr>
      <w:tr>
        <w:tblPrEx>
          <w:tblLayout w:type="fixed"/>
          <w:tblCellMar>
            <w:top w:w="0" w:type="dxa"/>
            <w:left w:w="0" w:type="dxa"/>
            <w:bottom w:w="0" w:type="dxa"/>
            <w:right w:w="0" w:type="dxa"/>
          </w:tblCellMar>
        </w:tblPrEx>
        <w:trPr>
          <w:trHeight w:val="715"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ind w:firstLine="160" w:firstLine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1.一般公共服务支出（类）港澳台事务（款）行政运行（项）2,206.32万元。主要用于发放在职人员工资薪金、社会保障、各类津补贴等支出。</w:t>
            </w:r>
          </w:p>
        </w:tc>
      </w:tr>
      <w:tr>
        <w:tblPrEx>
          <w:tblLayout w:type="fixed"/>
          <w:tblCellMar>
            <w:top w:w="0" w:type="dxa"/>
            <w:left w:w="0" w:type="dxa"/>
            <w:bottom w:w="0" w:type="dxa"/>
            <w:right w:w="0" w:type="dxa"/>
          </w:tblCellMar>
        </w:tblPrEx>
        <w:trPr>
          <w:trHeight w:val="715"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2.社会保障和就业支出（类）行政事业单位养老支出（款）行政单位离退休（项）252.67万元。主要用于发放离休退人员工资、各类津补贴等支出。</w:t>
            </w:r>
          </w:p>
        </w:tc>
      </w:tr>
      <w:tr>
        <w:tblPrEx>
          <w:tblLayout w:type="fixed"/>
          <w:tblCellMar>
            <w:top w:w="0" w:type="dxa"/>
            <w:left w:w="0" w:type="dxa"/>
            <w:bottom w:w="0" w:type="dxa"/>
            <w:right w:w="0" w:type="dxa"/>
          </w:tblCellMar>
        </w:tblPrEx>
        <w:trPr>
          <w:trHeight w:val="1079"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bidi w:val="0"/>
              <w:spacing w:line="600" w:lineRule="exact"/>
              <w:ind w:left="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3.社会保障和就业支出（类）行政事业单位养老支出（款）机关事业单位基本养老保险缴费支出（项）109.74万元。主要用于在职人员基本养老保险支出。</w:t>
            </w:r>
          </w:p>
        </w:tc>
      </w:tr>
    </w:tbl>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4.社会保障和就业支出（类）行政事业单位养老支出（款）机关事业单位职业年金缴费支出（项）10.56万元。主要用于退休人员职业年金缴费支出。</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5.卫生健康支出（类）行政事业单位医疗（款）行政单位医疗（项）61.17万元。主要用于在职人员医疗保障支出。</w:t>
      </w:r>
    </w:p>
    <w:tbl>
      <w:tblPr>
        <w:tblStyle w:val="4"/>
        <w:tblW w:w="8684" w:type="dxa"/>
        <w:tblInd w:w="5" w:type="dxa"/>
        <w:tblLayout w:type="fixed"/>
        <w:tblCellMar>
          <w:top w:w="0" w:type="dxa"/>
          <w:left w:w="0" w:type="dxa"/>
          <w:bottom w:w="0" w:type="dxa"/>
          <w:right w:w="0" w:type="dxa"/>
        </w:tblCellMar>
      </w:tblPr>
      <w:tblGrid>
        <w:gridCol w:w="8684"/>
      </w:tblGrid>
      <w:tr>
        <w:tblPrEx>
          <w:tblLayout w:type="fixed"/>
          <w:tblCellMar>
            <w:top w:w="0" w:type="dxa"/>
            <w:left w:w="0" w:type="dxa"/>
            <w:bottom w:w="0" w:type="dxa"/>
            <w:right w:w="0" w:type="dxa"/>
          </w:tblCellMar>
        </w:tblPrEx>
        <w:trPr>
          <w:trHeight w:val="715"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bidi w:val="0"/>
              <w:spacing w:line="600" w:lineRule="exact"/>
              <w:ind w:left="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6.卫生健康支出（类）行政事业单位医疗（款）公务员医疗补助（项）23.42万元。主要用于在职人员医疗补助支出。</w:t>
            </w:r>
          </w:p>
        </w:tc>
      </w:tr>
    </w:tbl>
    <w:p>
      <w:pPr>
        <w:keepNext w:val="0"/>
        <w:keepLines w:val="0"/>
        <w:pageBreakBefore w:val="0"/>
        <w:widowControl w:val="0"/>
        <w:kinsoku/>
        <w:wordWrap/>
        <w:overflowPunct/>
        <w:topLinePunct w:val="0"/>
        <w:bidi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三、政府性基金预算财政拨款支出情况</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704" w:firstLineChars="2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2022年度政府性基金支出0万元（不含市对区转移支付项目），比2021年预算数增加</w:t>
      </w:r>
      <w:bookmarkStart w:id="0" w:name="_GoBack"/>
      <w:bookmarkEnd w:id="0"/>
      <w:r>
        <w:rPr>
          <w:rFonts w:hint="eastAsia" w:ascii="仿宋_GB2312" w:hAnsi="仿宋_GB2312" w:eastAsia="仿宋_GB2312" w:cs="仿宋_GB2312"/>
          <w:sz w:val="32"/>
          <w:szCs w:val="32"/>
        </w:rPr>
        <w:t>0万元，主要是没有政府性基金预算项目拨款支出，此项支出无增减变化。</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四、“三公”经费财政拨款预算情况</w:t>
      </w:r>
    </w:p>
    <w:p>
      <w:pPr>
        <w:keepNext w:val="0"/>
        <w:keepLines w:val="0"/>
        <w:pageBreakBefore w:val="0"/>
        <w:widowControl w:val="0"/>
        <w:kinsoku/>
        <w:wordWrap/>
        <w:overflowPunct/>
        <w:topLinePunct w:val="0"/>
        <w:bidi w:val="0"/>
        <w:adjustRightInd w:val="0"/>
        <w:snapToGrid w:val="0"/>
        <w:spacing w:line="60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中共厦门市委台港澳工作办公室2022年“三公”经费财政拨款预算数为2.71万元，其中公务用车购置及运行费2.71万元，</w:t>
      </w:r>
      <w:r>
        <w:rPr>
          <w:rFonts w:hint="eastAsia" w:ascii="仿宋_GB2312" w:hAnsi="仿宋_GB2312" w:eastAsia="仿宋_GB2312" w:cs="仿宋_GB2312"/>
          <w:kern w:val="0"/>
          <w:sz w:val="32"/>
          <w:szCs w:val="32"/>
        </w:rPr>
        <w:t>主要用于公务车辆燃油费、维修、保险等方面支出；</w:t>
      </w:r>
      <w:r>
        <w:rPr>
          <w:rFonts w:hint="eastAsia" w:ascii="仿宋_GB2312" w:hAnsi="仿宋_GB2312" w:eastAsia="仿宋_GB2312" w:cs="仿宋_GB2312"/>
          <w:bCs/>
          <w:kern w:val="0"/>
          <w:sz w:val="32"/>
          <w:szCs w:val="32"/>
        </w:rPr>
        <w:t>公务用车购置费</w:t>
      </w:r>
      <w:r>
        <w:rPr>
          <w:rFonts w:hint="eastAsia" w:ascii="仿宋_GB2312" w:hAnsi="仿宋_GB2312" w:eastAsia="仿宋_GB2312" w:cs="仿宋_GB2312"/>
          <w:kern w:val="0"/>
          <w:sz w:val="32"/>
          <w:szCs w:val="32"/>
        </w:rPr>
        <w:t>0万元。</w:t>
      </w:r>
      <w:r>
        <w:rPr>
          <w:rFonts w:hint="eastAsia" w:ascii="仿宋_GB2312" w:hAnsi="仿宋_GB2312" w:eastAsia="仿宋_GB2312" w:cs="仿宋_GB2312"/>
          <w:sz w:val="32"/>
          <w:szCs w:val="32"/>
        </w:rPr>
        <w:t>与</w:t>
      </w:r>
      <w:r>
        <w:rPr>
          <w:rFonts w:hint="eastAsia" w:ascii="仿宋_GB2312" w:hAnsi="仿宋_GB2312" w:eastAsia="仿宋_GB2312" w:cs="仿宋_GB2312"/>
          <w:b/>
          <w:bCs/>
          <w:sz w:val="32"/>
          <w:szCs w:val="32"/>
        </w:rPr>
        <w:t>上</w:t>
      </w:r>
      <w:r>
        <w:rPr>
          <w:rFonts w:hint="eastAsia" w:ascii="仿宋_GB2312" w:hAnsi="仿宋_GB2312" w:eastAsia="仿宋_GB2312" w:cs="仿宋_GB2312"/>
          <w:sz w:val="32"/>
          <w:szCs w:val="32"/>
        </w:rPr>
        <w:t>年预算相比下降10%，主要是全市公务用车购置及运行费统一压缩。</w:t>
      </w:r>
    </w:p>
    <w:p>
      <w:pPr>
        <w:keepNext w:val="0"/>
        <w:keepLines w:val="0"/>
        <w:pageBreakBefore w:val="0"/>
        <w:widowControl w:val="0"/>
        <w:kinsoku/>
        <w:wordWrap/>
        <w:overflowPunct/>
        <w:topLinePunct w:val="0"/>
        <w:bidi w:val="0"/>
        <w:adjustRightInd w:val="0"/>
        <w:snapToGrid w:val="0"/>
        <w:spacing w:line="600" w:lineRule="exact"/>
        <w:ind w:firstLine="6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补充说明：“三公”经费中我办仅公开“公务用车购置费和运行费”事项。</w:t>
      </w:r>
    </w:p>
    <w:p>
      <w:pPr>
        <w:keepNext w:val="0"/>
        <w:keepLines w:val="0"/>
        <w:pageBreakBefore w:val="0"/>
        <w:widowControl w:val="0"/>
        <w:kinsoku/>
        <w:wordWrap/>
        <w:overflowPunct/>
        <w:topLinePunct w:val="0"/>
        <w:bidi w:val="0"/>
        <w:spacing w:line="600" w:lineRule="exact"/>
        <w:textAlignment w:val="auto"/>
        <w:rPr>
          <w:rFonts w:ascii="仿宋" w:hAnsi="仿宋" w:eastAsia="仿宋" w:cs="华文仿宋"/>
          <w:b/>
          <w:sz w:val="32"/>
          <w:szCs w:val="32"/>
        </w:rPr>
      </w:pPr>
      <w:r>
        <w:rPr>
          <w:rFonts w:hint="eastAsia" w:ascii="仿宋" w:hAnsi="仿宋" w:eastAsia="仿宋" w:cs="黑体"/>
          <w:sz w:val="32"/>
          <w:szCs w:val="32"/>
        </w:rPr>
        <w:t>　</w:t>
      </w:r>
      <w:r>
        <w:rPr>
          <w:rFonts w:hint="eastAsia" w:ascii="仿宋" w:hAnsi="仿宋" w:eastAsia="仿宋" w:cs="黑体"/>
          <w:b/>
          <w:sz w:val="32"/>
          <w:szCs w:val="32"/>
        </w:rPr>
        <w:t>　</w:t>
      </w:r>
      <w:r>
        <w:rPr>
          <w:rFonts w:hint="eastAsia" w:ascii="黑体" w:hAnsi="黑体" w:eastAsia="黑体"/>
          <w:sz w:val="32"/>
          <w:szCs w:val="32"/>
        </w:rPr>
        <w:t>五、其他重要事项的情况说明</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 w:hAnsi="仿宋" w:eastAsia="仿宋" w:cs="华文仿宋"/>
          <w:sz w:val="32"/>
          <w:szCs w:val="32"/>
        </w:rPr>
        <w:t xml:space="preserve">　 </w:t>
      </w:r>
      <w:r>
        <w:rPr>
          <w:rFonts w:hint="eastAsia" w:ascii="仿宋_GB2312" w:hAnsi="仿宋_GB2312" w:eastAsia="仿宋_GB2312" w:cs="仿宋_GB2312"/>
          <w:sz w:val="32"/>
          <w:szCs w:val="32"/>
        </w:rPr>
        <w:t>（一）机关运行经费</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2022年中共厦门市委台港澳工作办公室的机关运行经费财政拨款预算257.77万元，比2021年预算增加8.01万元，增长3.21 %。</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sz w:val="32"/>
          <w:szCs w:val="32"/>
        </w:rPr>
        <w:t>人员增加，公用经费相应增多。</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（二）政府采购情况</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2022年中共厦门市委台港澳工作办公室政府采购预算总额71.38万元，其中：政府采购货物预算1.38万元，政府采购工程预算0.00万元，政府采购服务预算70.00万元。</w:t>
      </w:r>
    </w:p>
    <w:p>
      <w:pPr>
        <w:keepNext w:val="0"/>
        <w:keepLines w:val="0"/>
        <w:pageBreakBefore w:val="0"/>
        <w:widowControl w:val="0"/>
        <w:kinsoku/>
        <w:wordWrap/>
        <w:overflowPunct/>
        <w:topLinePunct w:val="0"/>
        <w:bidi w:val="0"/>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（三）国有资产占有使用情况</w:t>
      </w:r>
    </w:p>
    <w:p>
      <w:pPr>
        <w:keepNext w:val="0"/>
        <w:keepLines w:val="0"/>
        <w:pageBreakBefore w:val="0"/>
        <w:widowControl w:val="0"/>
        <w:kinsoku/>
        <w:wordWrap/>
        <w:overflowPunct/>
        <w:topLinePunct w:val="0"/>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截至2021年12月31日，中共厦门市委台港澳工作办公室所属各预算单位共有车辆1辆，单位价值50万以上通用设备0台（套），单位价值100万以上专用设备0台（套）。</w:t>
      </w:r>
    </w:p>
    <w:p>
      <w:pPr>
        <w:keepNext w:val="0"/>
        <w:keepLines w:val="0"/>
        <w:pageBreakBefore w:val="0"/>
        <w:widowControl w:val="0"/>
        <w:kinsoku/>
        <w:wordWrap/>
        <w:overflowPunct/>
        <w:topLinePunct w:val="0"/>
        <w:bidi w:val="0"/>
        <w:spacing w:line="60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ascii="仿宋" w:hAnsi="仿宋" w:eastAsia="仿宋" w:cs="仿宋_GB2312"/>
          <w:sz w:val="32"/>
          <w:szCs w:val="32"/>
        </w:rPr>
      </w:pPr>
      <w:r>
        <w:rPr>
          <w:rFonts w:hint="eastAsia" w:ascii="仿宋_GB2312" w:hAnsi="仿宋_GB2312" w:eastAsia="仿宋_GB2312" w:cs="仿宋_GB2312"/>
          <w:sz w:val="32"/>
          <w:szCs w:val="32"/>
        </w:rPr>
        <w:t>中共厦门市委台港澳工作办公室没有需设置绩效目标的一级项目。</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2720" w:firstLineChars="850"/>
        <w:textAlignment w:val="auto"/>
        <w:rPr>
          <w:rFonts w:ascii="黑体" w:hAnsi="黑体" w:eastAsia="黑体"/>
          <w:sz w:val="32"/>
          <w:szCs w:val="32"/>
        </w:rPr>
      </w:pPr>
      <w:r>
        <w:rPr>
          <w:rFonts w:hint="eastAsia" w:ascii="黑体" w:hAnsi="黑体" w:eastAsia="黑体"/>
          <w:sz w:val="32"/>
          <w:szCs w:val="32"/>
        </w:rPr>
        <w:t>第三部分  名词解释</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一、基本支出</w:t>
      </w:r>
      <w:r>
        <w:rPr>
          <w:rFonts w:hint="eastAsia" w:ascii="仿宋_GB2312" w:hAnsi="仿宋_GB2312" w:eastAsia="仿宋_GB2312" w:cs="仿宋_GB2312"/>
          <w:kern w:val="0"/>
          <w:sz w:val="32"/>
          <w:szCs w:val="32"/>
        </w:rPr>
        <w:t>：指为保障机构正常运转、完成日常工作任务而发生的人员支出、对个人和家庭的补助支出和公用支出。</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二、项目支出</w:t>
      </w:r>
      <w:r>
        <w:rPr>
          <w:rFonts w:hint="eastAsia" w:ascii="仿宋_GB2312" w:hAnsi="仿宋_GB2312" w:eastAsia="仿宋_GB2312" w:cs="仿宋_GB2312"/>
          <w:kern w:val="0"/>
          <w:sz w:val="32"/>
          <w:szCs w:val="32"/>
        </w:rPr>
        <w:t>：指在基本支出之外为完成特定行政任务和事业发展目标所发生的支出，</w:t>
      </w:r>
      <w:r>
        <w:rPr>
          <w:rFonts w:hint="eastAsia" w:ascii="仿宋_GB2312" w:hAnsi="仿宋_GB2312" w:eastAsia="仿宋_GB2312" w:cs="仿宋_GB2312"/>
          <w:sz w:val="32"/>
          <w:szCs w:val="32"/>
        </w:rPr>
        <w:t>包括部门专项、发展经费和基建项目。</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三、“三公”经费</w:t>
      </w:r>
      <w:r>
        <w:rPr>
          <w:rFonts w:hint="eastAsia" w:ascii="仿宋_GB2312" w:hAnsi="仿宋_GB2312" w:eastAsia="仿宋_GB2312" w:cs="仿宋_GB2312"/>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四、机关运行经费</w:t>
      </w:r>
      <w:r>
        <w:rPr>
          <w:rFonts w:hint="eastAsia" w:ascii="仿宋_GB2312" w:hAnsi="仿宋_GB2312" w:eastAsia="仿宋_GB2312" w:cs="仿宋_GB2312"/>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五、其他名词解释。</w:t>
      </w:r>
      <w:r>
        <w:rPr>
          <w:rFonts w:hint="eastAsia" w:ascii="仿宋_GB2312" w:hAnsi="仿宋_GB2312" w:eastAsia="仿宋_GB2312" w:cs="仿宋_GB2312"/>
          <w:sz w:val="32"/>
          <w:szCs w:val="32"/>
          <w:lang w:eastAsia="zh-CN"/>
        </w:rPr>
        <w:t>无</w:t>
      </w:r>
    </w:p>
    <w:p>
      <w:pPr>
        <w:keepNext w:val="0"/>
        <w:keepLines w:val="0"/>
        <w:pageBreakBefore w:val="0"/>
        <w:widowControl w:val="0"/>
        <w:tabs>
          <w:tab w:val="left" w:pos="7513"/>
        </w:tabs>
        <w:kinsoku/>
        <w:wordWrap/>
        <w:overflowPunct/>
        <w:topLinePunct w:val="0"/>
        <w:bidi w:val="0"/>
        <w:adjustRightInd w:val="0"/>
        <w:snapToGrid w:val="0"/>
        <w:spacing w:line="600" w:lineRule="exact"/>
        <w:jc w:val="center"/>
        <w:textAlignment w:val="auto"/>
        <w:rPr>
          <w:rFonts w:ascii="黑体" w:hAnsi="黑体" w:eastAsia="黑体"/>
          <w:sz w:val="32"/>
          <w:szCs w:val="32"/>
        </w:rPr>
      </w:pPr>
      <w:r>
        <w:rPr>
          <w:rFonts w:hint="eastAsia" w:ascii="黑体" w:hAnsi="黑体" w:eastAsia="黑体"/>
          <w:sz w:val="32"/>
          <w:szCs w:val="32"/>
        </w:rPr>
        <w:t>第四部分  2022年部门预算附表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一、部门收支预算总体情况表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二、部门收入预算总体情况表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三、部门支出预算总体情况表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四、财政拨款收支预算总体情况表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六、一般公共预算基本支出情况表（经济分类款级科目）</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九、市对区转移支付支出预算表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十、部门整体支出绩效目标表</w:t>
      </w:r>
    </w:p>
    <w:p>
      <w:pPr>
        <w:keepNext w:val="0"/>
        <w:keepLines w:val="0"/>
        <w:pageBreakBefore w:val="0"/>
        <w:widowControl w:val="0"/>
        <w:shd w:val="clear" w:color="auto" w:fill="FFFFFF"/>
        <w:tabs>
          <w:tab w:val="left" w:pos="7513"/>
        </w:tabs>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十一、一级项目绩效目标表</w:t>
      </w:r>
    </w:p>
    <w:p>
      <w:pPr>
        <w:keepNext w:val="0"/>
        <w:keepLines w:val="0"/>
        <w:pageBreakBefore w:val="0"/>
        <w:widowControl w:val="0"/>
        <w:kinsoku/>
        <w:wordWrap/>
        <w:overflowPunct/>
        <w:topLinePunct w:val="0"/>
        <w:bidi w:val="0"/>
        <w:spacing w:line="600" w:lineRule="exact"/>
        <w:ind w:firstLine="645"/>
        <w:textAlignment w:val="auto"/>
        <w:rPr>
          <w:rFonts w:hint="eastAsia" w:ascii="仿宋_GB2312" w:hAnsi="仿宋_GB2312" w:eastAsia="仿宋_GB2312" w:cs="仿宋_GB2312"/>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iaoBiaoSong-B05S">
    <w:altName w:val="宋体"/>
    <w:panose1 w:val="03000509000000000000"/>
    <w:charset w:val="86"/>
    <w:family w:val="roman"/>
    <w:pitch w:val="default"/>
    <w:sig w:usb0="00000000" w:usb1="00000000" w:usb2="00000000" w:usb3="00000000" w:csb0="00040000" w:csb1="00000000"/>
  </w:font>
  <w:font w:name="方正小标宋简体">
    <w:altName w:val="Arial Unicode MS"/>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roman"/>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080D"/>
    <w:rsid w:val="0007273F"/>
    <w:rsid w:val="00087E76"/>
    <w:rsid w:val="000A4442"/>
    <w:rsid w:val="000F3BE3"/>
    <w:rsid w:val="001B0262"/>
    <w:rsid w:val="00210670"/>
    <w:rsid w:val="003812B0"/>
    <w:rsid w:val="00450431"/>
    <w:rsid w:val="004F34B3"/>
    <w:rsid w:val="0050527F"/>
    <w:rsid w:val="00532DAE"/>
    <w:rsid w:val="00560BAB"/>
    <w:rsid w:val="005B3C40"/>
    <w:rsid w:val="005E02B9"/>
    <w:rsid w:val="005E6123"/>
    <w:rsid w:val="006C080D"/>
    <w:rsid w:val="00725AE2"/>
    <w:rsid w:val="00757757"/>
    <w:rsid w:val="008A173B"/>
    <w:rsid w:val="008B47B5"/>
    <w:rsid w:val="00981302"/>
    <w:rsid w:val="009E5C4C"/>
    <w:rsid w:val="00B30E90"/>
    <w:rsid w:val="00BA74F7"/>
    <w:rsid w:val="00BB321F"/>
    <w:rsid w:val="00CB3B45"/>
    <w:rsid w:val="00D03973"/>
    <w:rsid w:val="00D64FCB"/>
    <w:rsid w:val="00DA4B26"/>
    <w:rsid w:val="00E51B0E"/>
    <w:rsid w:val="27605A22"/>
    <w:rsid w:val="2D3F29CF"/>
    <w:rsid w:val="5EFF14F4"/>
    <w:rsid w:val="7EED7E0A"/>
    <w:rsid w:val="7FDB9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582</Words>
  <Characters>3323</Characters>
  <Lines>27</Lines>
  <Paragraphs>7</Paragraphs>
  <TotalTime>304</TotalTime>
  <ScaleCrop>false</ScaleCrop>
  <LinksUpToDate>false</LinksUpToDate>
  <CharactersWithSpaces>3898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2022-02-12T03:05:00Z</dcterms:created>
  <dc:creator>czzw</dc:creator>
  <cp:lastModifiedBy>czzw</cp:lastModifiedBy>
  <dcterms:modified xsi:type="dcterms:W3CDTF">2023-09-28T00:35:36Z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