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40"/>
        <w:jc w:val="center"/>
        <w:rPr>
          <w:rFonts w:ascii="Times" w:hAnsi="Times" w:eastAsia="方正小标宋简体" w:cs="楷体_GB2312"/>
          <w:bCs/>
          <w:sz w:val="44"/>
          <w:szCs w:val="32"/>
          <w:highlight w:val="none"/>
        </w:rPr>
      </w:pPr>
      <w:r>
        <w:rPr>
          <w:rFonts w:hint="eastAsia" w:ascii="Times" w:hAnsi="Times" w:eastAsia="方正小标宋简体" w:cs="楷体_GB2312"/>
          <w:bCs/>
          <w:sz w:val="44"/>
          <w:szCs w:val="32"/>
          <w:highlight w:val="none"/>
        </w:rPr>
        <w:t>关于支持企业增资扩产</w:t>
      </w:r>
    </w:p>
    <w:p>
      <w:pPr>
        <w:snapToGrid w:val="0"/>
        <w:spacing w:line="560" w:lineRule="exact"/>
        <w:ind w:firstLine="640"/>
        <w:jc w:val="center"/>
        <w:rPr>
          <w:rFonts w:hint="eastAsia" w:ascii="Times" w:hAnsi="Times" w:eastAsia="方正小标宋简体" w:cs="楷体_GB2312"/>
          <w:bCs/>
          <w:sz w:val="44"/>
          <w:szCs w:val="32"/>
          <w:highlight w:val="none"/>
          <w:lang w:eastAsia="zh-CN"/>
        </w:rPr>
      </w:pPr>
      <w:r>
        <w:rPr>
          <w:rFonts w:hint="eastAsia" w:ascii="Times" w:hAnsi="Times" w:eastAsia="方正小标宋简体" w:cs="楷体_GB2312"/>
          <w:bCs/>
          <w:sz w:val="44"/>
          <w:szCs w:val="32"/>
          <w:highlight w:val="none"/>
        </w:rPr>
        <w:t>促进产业发展提质增效的</w:t>
      </w:r>
      <w:r>
        <w:rPr>
          <w:rFonts w:hint="eastAsia" w:ascii="Times" w:hAnsi="Times" w:eastAsia="方正小标宋简体" w:cs="楷体_GB2312"/>
          <w:bCs/>
          <w:sz w:val="44"/>
          <w:szCs w:val="32"/>
          <w:highlight w:val="none"/>
          <w:lang w:eastAsia="zh-CN"/>
        </w:rPr>
        <w:t>实施方案</w:t>
      </w:r>
    </w:p>
    <w:p>
      <w:pPr>
        <w:snapToGrid w:val="0"/>
        <w:spacing w:line="560" w:lineRule="exact"/>
        <w:ind w:firstLine="640"/>
        <w:jc w:val="center"/>
        <w:rPr>
          <w:rFonts w:hint="eastAsia" w:ascii="Times" w:hAnsi="华文楷体" w:eastAsia="华文楷体" w:cs="楷体_GB2312"/>
          <w:bCs/>
          <w:sz w:val="32"/>
          <w:szCs w:val="32"/>
          <w:highlight w:val="none"/>
        </w:rPr>
      </w:pPr>
      <w:r>
        <w:rPr>
          <w:rFonts w:hint="eastAsia" w:ascii="Times" w:hAnsi="华文楷体" w:eastAsia="华文楷体" w:cs="楷体_GB2312"/>
          <w:bCs/>
          <w:sz w:val="32"/>
          <w:szCs w:val="32"/>
          <w:highlight w:val="none"/>
        </w:rPr>
        <w:t>（</w:t>
      </w:r>
      <w:r>
        <w:rPr>
          <w:rFonts w:hint="default" w:ascii="楷体_GB2312" w:hAnsi="楷体_GB2312" w:eastAsia="楷体_GB2312" w:cs="楷体_GB2312"/>
          <w:bCs/>
          <w:sz w:val="32"/>
          <w:szCs w:val="32"/>
          <w:highlight w:val="none"/>
          <w:lang w:val="en-US" w:eastAsia="zh-CN"/>
        </w:rPr>
        <w:t>征求意见稿</w:t>
      </w:r>
      <w:r>
        <w:rPr>
          <w:rFonts w:hint="eastAsia" w:ascii="Times" w:hAnsi="华文楷体" w:eastAsia="华文楷体" w:cs="楷体_GB2312"/>
          <w:bCs/>
          <w:sz w:val="32"/>
          <w:szCs w:val="32"/>
          <w:highlight w:val="none"/>
        </w:rPr>
        <w:t>）</w:t>
      </w:r>
    </w:p>
    <w:p>
      <w:pPr>
        <w:pStyle w:val="2"/>
        <w:rPr>
          <w:highlight w:val="none"/>
        </w:rPr>
      </w:pPr>
    </w:p>
    <w:p>
      <w:pPr>
        <w:spacing w:line="540" w:lineRule="exact"/>
        <w:rPr>
          <w:rFonts w:ascii="Times" w:hAnsi="Times" w:eastAsia="仿宋_GB2312" w:cs="仿宋_GB2312"/>
          <w:sz w:val="32"/>
          <w:szCs w:val="32"/>
          <w:highlight w:val="none"/>
        </w:rPr>
      </w:pPr>
      <w:r>
        <w:rPr>
          <w:rFonts w:hint="eastAsia" w:ascii="Times" w:hAnsi="Times New Roman" w:eastAsia="仿宋_GB2312" w:cs="仿宋_GB2312"/>
          <w:sz w:val="32"/>
          <w:szCs w:val="32"/>
          <w:highlight w:val="none"/>
        </w:rPr>
        <w:t>各区人民政府，市直各委、办、局，各开发区管委会，各相关单位：</w:t>
      </w:r>
    </w:p>
    <w:p>
      <w:pPr>
        <w:spacing w:line="560" w:lineRule="exact"/>
        <w:ind w:firstLine="640" w:firstLineChars="200"/>
        <w:rPr>
          <w:rFonts w:ascii="Times" w:hAnsi="Times" w:eastAsia="仿宋_GB2312" w:cs="仿宋"/>
          <w:sz w:val="32"/>
          <w:szCs w:val="32"/>
          <w:highlight w:val="none"/>
        </w:rPr>
      </w:pPr>
      <w:r>
        <w:rPr>
          <w:rFonts w:hint="eastAsia" w:ascii="Times" w:hAnsi="Times" w:eastAsia="仿宋_GB2312" w:cs="仿宋"/>
          <w:sz w:val="32"/>
          <w:szCs w:val="32"/>
          <w:highlight w:val="none"/>
        </w:rPr>
        <w:t>增资扩产是深化供给侧结构性改革、实施扩大内需战略的重要抓手，对经济具有持久拉动力，事关城市长远竞争力。为支持我市企业增资扩产，以高强度投资提振市场信心、增强发展后劲，推动经济实现质的有效提升和量的合理增长，制定本</w:t>
      </w:r>
      <w:r>
        <w:rPr>
          <w:rFonts w:hint="eastAsia" w:ascii="Times" w:hAnsi="Times" w:eastAsia="仿宋_GB2312" w:cs="仿宋"/>
          <w:sz w:val="32"/>
          <w:szCs w:val="32"/>
          <w:highlight w:val="none"/>
          <w:lang w:eastAsia="zh-CN"/>
        </w:rPr>
        <w:t>实施方案</w:t>
      </w:r>
      <w:r>
        <w:rPr>
          <w:rFonts w:hint="eastAsia" w:ascii="Times" w:hAnsi="Times" w:eastAsia="仿宋_GB2312" w:cs="仿宋"/>
          <w:sz w:val="32"/>
          <w:szCs w:val="32"/>
          <w:highlight w:val="none"/>
        </w:rPr>
        <w:t>。</w:t>
      </w:r>
    </w:p>
    <w:p>
      <w:pPr>
        <w:pStyle w:val="6"/>
        <w:shd w:val="clear" w:color="auto" w:fill="FFFFFF"/>
        <w:spacing w:before="0" w:beforeAutospacing="0" w:after="0" w:afterAutospacing="0" w:line="560" w:lineRule="exact"/>
        <w:ind w:firstLine="640" w:firstLineChars="200"/>
        <w:rPr>
          <w:rFonts w:ascii="Times" w:hAnsi="Times" w:eastAsia="黑体" w:cs="Times New Roman"/>
          <w:bCs/>
          <w:kern w:val="2"/>
          <w:sz w:val="32"/>
          <w:szCs w:val="32"/>
          <w:highlight w:val="none"/>
        </w:rPr>
      </w:pPr>
      <w:r>
        <w:rPr>
          <w:rFonts w:hint="eastAsia" w:ascii="Times" w:hAnsi="黑体" w:eastAsia="黑体" w:cs="Times New Roman"/>
          <w:bCs/>
          <w:kern w:val="2"/>
          <w:sz w:val="32"/>
          <w:szCs w:val="32"/>
          <w:highlight w:val="none"/>
        </w:rPr>
        <w:t>一、总体目标</w:t>
      </w:r>
    </w:p>
    <w:p>
      <w:pPr>
        <w:spacing w:line="560" w:lineRule="exact"/>
        <w:ind w:firstLine="640" w:firstLineChars="200"/>
        <w:rPr>
          <w:rFonts w:ascii="Times" w:hAnsi="Times" w:eastAsia="仿宋_GB2312" w:cs="仿宋"/>
          <w:sz w:val="32"/>
          <w:szCs w:val="32"/>
          <w:highlight w:val="none"/>
        </w:rPr>
      </w:pPr>
      <w:r>
        <w:rPr>
          <w:rFonts w:hint="eastAsia" w:ascii="Times" w:hAnsi="Times" w:eastAsia="仿宋_GB2312" w:cs="仿宋"/>
          <w:sz w:val="32"/>
          <w:szCs w:val="32"/>
          <w:highlight w:val="none"/>
        </w:rPr>
        <w:t>深入贯彻习近平新时代中国特色社会主义思想，完整、准确、全面贯彻新发展理念，积极服务和融入新发展格局，</w:t>
      </w:r>
      <w:r>
        <w:rPr>
          <w:rFonts w:hint="eastAsia" w:ascii="Times" w:hAnsi="Times" w:eastAsia="仿宋_GB2312"/>
          <w:color w:val="000000" w:themeColor="text1"/>
          <w:sz w:val="32"/>
          <w:szCs w:val="32"/>
          <w:highlight w:val="none"/>
          <w14:textFill>
            <w14:solidFill>
              <w14:schemeClr w14:val="tx1"/>
            </w14:solidFill>
          </w14:textFill>
        </w:rPr>
        <w:t>把实施扩大内需战略同深化供给侧结构性改革有机结合，</w:t>
      </w:r>
      <w:r>
        <w:rPr>
          <w:rFonts w:hint="eastAsia" w:ascii="Times" w:hAnsi="Times" w:eastAsia="仿宋_GB2312" w:cs="仿宋"/>
          <w:sz w:val="32"/>
          <w:szCs w:val="32"/>
          <w:highlight w:val="none"/>
        </w:rPr>
        <w:t>长短兼顾、综合施策、协同发力支持企业增资扩产，扩大产业有效投资，为加快建设现代化产业体系、强化经济高质量发展长远优势提供有力支撑。相关工作思路：</w:t>
      </w:r>
    </w:p>
    <w:p>
      <w:pPr>
        <w:spacing w:line="560" w:lineRule="exact"/>
        <w:ind w:firstLine="642" w:firstLineChars="200"/>
        <w:rPr>
          <w:rFonts w:ascii="Times" w:hAnsi="Times" w:eastAsia="仿宋_GB2312" w:cs="仿宋"/>
          <w:sz w:val="32"/>
          <w:szCs w:val="32"/>
          <w:highlight w:val="none"/>
        </w:rPr>
      </w:pPr>
      <w:r>
        <w:rPr>
          <w:rFonts w:hint="eastAsia" w:ascii="Times" w:hAnsi="楷体_GB2312" w:eastAsia="楷体_GB2312" w:cs="楷体_GB2312"/>
          <w:b/>
          <w:bCs/>
          <w:sz w:val="32"/>
          <w:szCs w:val="32"/>
          <w:highlight w:val="none"/>
        </w:rPr>
        <w:t>（一）项目引领。</w:t>
      </w:r>
      <w:r>
        <w:rPr>
          <w:rFonts w:hint="eastAsia" w:ascii="Times" w:hAnsi="Times" w:eastAsia="仿宋_GB2312" w:cs="仿宋"/>
          <w:sz w:val="32"/>
          <w:szCs w:val="32"/>
          <w:highlight w:val="none"/>
        </w:rPr>
        <w:t>坚持项目建设是经济工作的总抓手，把支持企业增资扩产与</w:t>
      </w:r>
      <w:r>
        <w:rPr>
          <w:rFonts w:hint="eastAsia" w:ascii="Times" w:hAnsi="Times" w:eastAsia="仿宋_GB2312"/>
          <w:color w:val="000000" w:themeColor="text1"/>
          <w:sz w:val="32"/>
          <w:szCs w:val="32"/>
          <w:highlight w:val="none"/>
          <w:lang w:eastAsia="zh-CN"/>
          <w14:textFill>
            <w14:solidFill>
              <w14:schemeClr w14:val="tx1"/>
            </w14:solidFill>
          </w14:textFill>
        </w:rPr>
        <w:t>提振发展信心</w:t>
      </w:r>
      <w:r>
        <w:rPr>
          <w:rFonts w:hint="eastAsia" w:ascii="Times" w:hAnsi="Times" w:eastAsia="仿宋_GB2312" w:cs="仿宋"/>
          <w:sz w:val="32"/>
          <w:szCs w:val="32"/>
          <w:highlight w:val="none"/>
        </w:rPr>
        <w:t>、</w:t>
      </w:r>
      <w:r>
        <w:rPr>
          <w:rFonts w:hint="eastAsia" w:ascii="Times" w:hAnsi="Times" w:eastAsia="仿宋_GB2312"/>
          <w:color w:val="000000" w:themeColor="text1"/>
          <w:sz w:val="32"/>
          <w:szCs w:val="32"/>
          <w:highlight w:val="none"/>
          <w14:textFill>
            <w14:solidFill>
              <w14:schemeClr w14:val="tx1"/>
            </w14:solidFill>
          </w14:textFill>
        </w:rPr>
        <w:t>鼓励民营经济发展、</w:t>
      </w:r>
      <w:r>
        <w:rPr>
          <w:rFonts w:hint="eastAsia" w:ascii="Times" w:hAnsi="Times" w:eastAsia="仿宋_GB2312" w:cs="仿宋"/>
          <w:sz w:val="32"/>
          <w:szCs w:val="32"/>
          <w:highlight w:val="none"/>
        </w:rPr>
        <w:t>提升招商引资能级</w:t>
      </w:r>
      <w:r>
        <w:rPr>
          <w:rFonts w:hint="eastAsia" w:ascii="Times" w:hAnsi="Times" w:eastAsia="仿宋_GB2312"/>
          <w:color w:val="000000" w:themeColor="text1"/>
          <w:sz w:val="32"/>
          <w:szCs w:val="32"/>
          <w:highlight w:val="none"/>
          <w14:textFill>
            <w14:solidFill>
              <w14:schemeClr w14:val="tx1"/>
            </w14:solidFill>
          </w14:textFill>
        </w:rPr>
        <w:t>有机结合，聚焦重点领域谋划实施一批有市场有潜力的优质项目，力争到2025年，实施“增资扩产”项目500个，</w:t>
      </w:r>
      <w:r>
        <w:rPr>
          <w:rFonts w:hint="eastAsia" w:ascii="Times" w:hAnsi="Times" w:eastAsia="仿宋_GB2312"/>
          <w:color w:val="000000" w:themeColor="text1"/>
          <w:sz w:val="32"/>
          <w:szCs w:val="32"/>
          <w:highlight w:val="none"/>
          <w:lang w:val="en-US" w:eastAsia="zh-CN"/>
          <w14:textFill>
            <w14:solidFill>
              <w14:schemeClr w14:val="tx1"/>
            </w14:solidFill>
          </w14:textFill>
        </w:rPr>
        <w:t>3年累计</w:t>
      </w:r>
      <w:r>
        <w:rPr>
          <w:rFonts w:hint="eastAsia" w:ascii="Times" w:hAnsi="Times" w:eastAsia="仿宋_GB2312"/>
          <w:color w:val="000000" w:themeColor="text1"/>
          <w:sz w:val="32"/>
          <w:szCs w:val="32"/>
          <w:highlight w:val="none"/>
          <w14:textFill>
            <w14:solidFill>
              <w14:schemeClr w14:val="tx1"/>
            </w14:solidFill>
          </w14:textFill>
        </w:rPr>
        <w:t>总投资超2000亿元，持续形成项目带动强势，优化产业投资结构。</w:t>
      </w:r>
    </w:p>
    <w:p>
      <w:pPr>
        <w:spacing w:line="560" w:lineRule="exact"/>
        <w:ind w:firstLine="642" w:firstLineChars="20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（二）壮大集群。</w:t>
      </w:r>
      <w:r>
        <w:rPr>
          <w:rFonts w:hint="eastAsia" w:ascii="Times" w:hAnsi="Times" w:eastAsia="仿宋_GB2312"/>
          <w:color w:val="000000" w:themeColor="text1"/>
          <w:sz w:val="32"/>
          <w:szCs w:val="32"/>
          <w:highlight w:val="none"/>
          <w14:textFill>
            <w14:solidFill>
              <w14:schemeClr w14:val="tx1"/>
            </w14:solidFill>
          </w14:textFill>
        </w:rPr>
        <w:t>坚持把发展经济的着力点放在实体经济上，深入开展“益企服务”专项行动，围绕我市“4+4+6”现代化产业体系，吸引上下游企业增资扩产、配套布局、强化协作，加快补齐关键环节和短板弱项，壮大产业链整体实力，提升发展新动能。</w:t>
      </w:r>
    </w:p>
    <w:p>
      <w:pPr>
        <w:spacing w:line="560" w:lineRule="exact"/>
        <w:ind w:firstLine="642" w:firstLineChars="200"/>
        <w:rPr>
          <w:rFonts w:ascii="Times" w:hAnsi="Times" w:eastAsia="仿宋_GB2312"/>
          <w:color w:val="000000" w:themeColor="text1"/>
          <w:sz w:val="32"/>
          <w:szCs w:val="32"/>
          <w:highlight w:val="none"/>
          <w14:textFill>
            <w14:solidFill>
              <w14:schemeClr w14:val="tx1"/>
            </w14:solidFill>
          </w14:textFill>
        </w:rPr>
      </w:pPr>
      <w:r>
        <w:rPr>
          <w:rFonts w:hint="eastAsia" w:ascii="Times" w:hAnsi="楷体_GB2312" w:eastAsia="楷体_GB2312" w:cs="楷体_GB2312"/>
          <w:b/>
          <w:bCs/>
          <w:sz w:val="32"/>
          <w:szCs w:val="32"/>
          <w:highlight w:val="none"/>
        </w:rPr>
        <w:t>（三）政策协同。</w:t>
      </w:r>
      <w:r>
        <w:rPr>
          <w:rFonts w:hint="eastAsia" w:ascii="Times" w:hAnsi="Times" w:eastAsia="仿宋_GB2312"/>
          <w:color w:val="000000" w:themeColor="text1"/>
          <w:sz w:val="32"/>
          <w:szCs w:val="32"/>
          <w:highlight w:val="none"/>
          <w14:textFill>
            <w14:solidFill>
              <w14:schemeClr w14:val="tx1"/>
            </w14:solidFill>
          </w14:textFill>
        </w:rPr>
        <w:t>坚持积极的财政政策要加力提效，按照系统集成的理念完善增资扩产政策支持体系，加强跨领域跨部门政策协调配合，健全政策统筹管理、资金集中使用和市区联动服务的机制，增强共促发展合力。强化政策绩效导向，动态调整优化政策设计，实现投入与产出良性循环。</w:t>
      </w:r>
    </w:p>
    <w:p>
      <w:pPr>
        <w:spacing w:line="560" w:lineRule="exact"/>
        <w:ind w:firstLine="642" w:firstLineChars="200"/>
        <w:rPr>
          <w:rFonts w:ascii="Times" w:hAnsi="Times" w:eastAsia="仿宋_GB2312"/>
          <w:color w:val="000000" w:themeColor="text1"/>
          <w:sz w:val="32"/>
          <w:szCs w:val="32"/>
          <w:highlight w:val="none"/>
          <w14:textFill>
            <w14:solidFill>
              <w14:schemeClr w14:val="tx1"/>
            </w14:solidFill>
          </w14:textFill>
        </w:rPr>
      </w:pPr>
      <w:r>
        <w:rPr>
          <w:rFonts w:hint="eastAsia" w:ascii="Times" w:hAnsi="楷体_GB2312" w:eastAsia="楷体_GB2312" w:cs="楷体_GB2312"/>
          <w:b/>
          <w:bCs/>
          <w:sz w:val="32"/>
          <w:szCs w:val="32"/>
          <w:highlight w:val="none"/>
        </w:rPr>
        <w:t>（四）强化撬动。</w:t>
      </w:r>
      <w:r>
        <w:rPr>
          <w:rFonts w:hint="eastAsia" w:ascii="Times" w:hAnsi="Times" w:eastAsia="仿宋_GB2312"/>
          <w:color w:val="000000" w:themeColor="text1"/>
          <w:sz w:val="32"/>
          <w:szCs w:val="32"/>
          <w:highlight w:val="none"/>
          <w14:textFill>
            <w14:solidFill>
              <w14:schemeClr w14:val="tx1"/>
            </w14:solidFill>
          </w14:textFill>
        </w:rPr>
        <w:t>坚持市场主导、政府引导，统筹资金、资产、资源为一体，运用“财政+金融”理念，优化产业扶持政策实施方式，通过政府投资和政策激励有效带动全社会投资，力争撬动超过800亿元的社会资本、金融资金共同支持产业发展，形成可持续的增资扩产投融资支持机制。</w:t>
      </w:r>
    </w:p>
    <w:p>
      <w:pPr>
        <w:snapToGrid w:val="0"/>
        <w:spacing w:line="560" w:lineRule="exact"/>
        <w:ind w:firstLine="640"/>
        <w:jc w:val="left"/>
        <w:rPr>
          <w:rFonts w:ascii="Times" w:hAnsi="Times" w:eastAsia="黑体" w:cs="楷体_GB2312"/>
          <w:bCs/>
          <w:sz w:val="32"/>
          <w:szCs w:val="32"/>
          <w:highlight w:val="none"/>
        </w:rPr>
      </w:pPr>
      <w:r>
        <w:rPr>
          <w:rFonts w:hint="eastAsia" w:ascii="Times" w:hAnsi="黑体" w:eastAsia="黑体" w:cs="楷体_GB2312"/>
          <w:bCs/>
          <w:sz w:val="32"/>
          <w:szCs w:val="32"/>
          <w:highlight w:val="none"/>
        </w:rPr>
        <w:t>二、主要内容</w:t>
      </w:r>
    </w:p>
    <w:p>
      <w:pPr>
        <w:snapToGrid w:val="0"/>
        <w:spacing w:line="560" w:lineRule="exact"/>
        <w:ind w:firstLine="64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（一）加大工业投资财政补助力度</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kern w:val="0"/>
          <w:sz w:val="32"/>
          <w:szCs w:val="32"/>
          <w:highlight w:val="none"/>
        </w:rPr>
        <w:t>完善技改补助政策，扩大补助范围、</w:t>
      </w:r>
      <w:r>
        <w:rPr>
          <w:rFonts w:hint="eastAsia" w:ascii="Times" w:hAnsi="仿宋_GB2312" w:eastAsia="仿宋_GB2312" w:cs="仿宋_GB2312"/>
          <w:kern w:val="0"/>
          <w:sz w:val="32"/>
          <w:szCs w:val="32"/>
          <w:highlight w:val="none"/>
          <w:lang w:eastAsia="zh-CN"/>
        </w:rPr>
        <w:t>加大补助力度</w:t>
      </w:r>
      <w:r>
        <w:rPr>
          <w:rFonts w:hint="eastAsia" w:ascii="Times" w:hAnsi="仿宋_GB2312" w:eastAsia="仿宋_GB2312" w:cs="仿宋_GB2312"/>
          <w:kern w:val="0"/>
          <w:sz w:val="32"/>
          <w:szCs w:val="32"/>
          <w:highlight w:val="none"/>
        </w:rPr>
        <w:t>，鼓励工业企业增资扩产。</w:t>
      </w:r>
    </w:p>
    <w:p>
      <w:pPr>
        <w:snapToGrid w:val="0"/>
        <w:spacing w:line="560" w:lineRule="exact"/>
        <w:ind w:firstLine="640"/>
        <w:rPr>
          <w:rFonts w:ascii="Times" w:hAnsi="Times" w:eastAsia="仿宋_GB2312" w:cs="仿宋_GB2312"/>
          <w:kern w:val="0"/>
          <w:sz w:val="32"/>
          <w:szCs w:val="32"/>
          <w:highlight w:val="none"/>
        </w:rPr>
      </w:pP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支持对象。</w:t>
      </w:r>
      <w:r>
        <w:rPr>
          <w:rFonts w:hint="eastAsia" w:ascii="Times" w:hAnsi="Times" w:eastAsia="仿宋_GB2312" w:cs="仿宋_GB2312"/>
          <w:kern w:val="0"/>
          <w:sz w:val="32"/>
          <w:szCs w:val="32"/>
          <w:highlight w:val="none"/>
        </w:rPr>
        <w:t>2023-2024</w:t>
      </w:r>
      <w:r>
        <w:rPr>
          <w:rFonts w:hint="eastAsia" w:ascii="Times" w:hAnsi="仿宋_GB2312" w:eastAsia="仿宋_GB2312" w:cs="仿宋_GB2312"/>
          <w:kern w:val="0"/>
          <w:sz w:val="32"/>
          <w:szCs w:val="32"/>
          <w:highlight w:val="none"/>
        </w:rPr>
        <w:t>年，我市工业企业实施的年度投资</w:t>
      </w:r>
      <w:r>
        <w:rPr>
          <w:rFonts w:hint="eastAsia" w:ascii="Times" w:hAnsi="Times" w:eastAsia="仿宋_GB2312" w:cs="仿宋_GB2312"/>
          <w:kern w:val="0"/>
          <w:sz w:val="32"/>
          <w:szCs w:val="32"/>
          <w:highlight w:val="none"/>
        </w:rPr>
        <w:t>1000</w:t>
      </w:r>
      <w:r>
        <w:rPr>
          <w:rFonts w:hint="eastAsia" w:ascii="Times" w:hAnsi="仿宋_GB2312" w:eastAsia="仿宋_GB2312" w:cs="仿宋_GB2312"/>
          <w:kern w:val="0"/>
          <w:sz w:val="32"/>
          <w:szCs w:val="32"/>
          <w:highlight w:val="none"/>
        </w:rPr>
        <w:t>万元及以上或年度设备投入500万元以上的增资扩产、技术改造项目。</w:t>
      </w:r>
    </w:p>
    <w:p>
      <w:pPr>
        <w:snapToGrid w:val="0"/>
        <w:spacing w:line="560" w:lineRule="exact"/>
        <w:ind w:firstLine="640"/>
        <w:rPr>
          <w:rFonts w:hint="eastAsia" w:ascii="Times" w:hAnsi="Times" w:eastAsia="仿宋_GB2312" w:cs="仿宋_GB2312"/>
          <w:kern w:val="0"/>
          <w:sz w:val="32"/>
          <w:szCs w:val="32"/>
          <w:highlight w:val="none"/>
          <w:lang w:eastAsia="zh-CN"/>
        </w:rPr>
      </w:pPr>
      <w:r>
        <w:rPr>
          <w:rFonts w:hint="eastAsia" w:ascii="Times" w:hAnsi="Times" w:eastAsia="仿宋_GB2312" w:cs="仿宋_GB2312"/>
          <w:b/>
          <w:sz w:val="32"/>
          <w:szCs w:val="32"/>
          <w:highlight w:val="none"/>
        </w:rPr>
        <w:t>2.</w:t>
      </w:r>
      <w:r>
        <w:rPr>
          <w:rFonts w:hint="eastAsia" w:ascii="Times" w:hAnsi="仿宋_GB2312" w:eastAsia="仿宋_GB2312" w:cs="仿宋_GB2312"/>
          <w:b/>
          <w:sz w:val="32"/>
          <w:szCs w:val="32"/>
          <w:highlight w:val="none"/>
        </w:rPr>
        <w:t>支持内容。</w:t>
      </w:r>
      <w:r>
        <w:rPr>
          <w:rFonts w:hint="eastAsia" w:ascii="Times" w:hAnsi="仿宋_GB2312" w:eastAsia="仿宋_GB2312" w:cs="仿宋_GB2312"/>
          <w:kern w:val="0"/>
          <w:sz w:val="32"/>
          <w:szCs w:val="32"/>
          <w:highlight w:val="none"/>
        </w:rPr>
        <w:t>按上年度工业固投（不含土地和非生产性设施建设投入）给予最高</w:t>
      </w:r>
      <w:r>
        <w:rPr>
          <w:rFonts w:hint="eastAsia" w:ascii="Times" w:hAnsi="Times" w:eastAsia="仿宋_GB2312" w:cs="仿宋_GB2312"/>
          <w:kern w:val="0"/>
          <w:sz w:val="32"/>
          <w:szCs w:val="32"/>
          <w:highlight w:val="none"/>
        </w:rPr>
        <w:t>10%</w:t>
      </w:r>
      <w:r>
        <w:rPr>
          <w:rFonts w:hint="eastAsia" w:ascii="Times" w:hAnsi="仿宋_GB2312" w:eastAsia="仿宋_GB2312" w:cs="仿宋_GB2312"/>
          <w:kern w:val="0"/>
          <w:sz w:val="32"/>
          <w:szCs w:val="32"/>
          <w:highlight w:val="none"/>
        </w:rPr>
        <w:t>的补助，单个项目最高补助</w:t>
      </w:r>
      <w:r>
        <w:rPr>
          <w:rFonts w:hint="eastAsia" w:ascii="Times" w:hAnsi="Times" w:eastAsia="仿宋_GB2312" w:cs="仿宋_GB2312"/>
          <w:kern w:val="0"/>
          <w:sz w:val="32"/>
          <w:szCs w:val="32"/>
          <w:highlight w:val="none"/>
        </w:rPr>
        <w:t>3000</w:t>
      </w:r>
      <w:r>
        <w:rPr>
          <w:rFonts w:hint="eastAsia" w:ascii="Times" w:hAnsi="仿宋_GB2312" w:eastAsia="仿宋_GB2312" w:cs="仿宋_GB2312"/>
          <w:kern w:val="0"/>
          <w:sz w:val="32"/>
          <w:szCs w:val="32"/>
          <w:highlight w:val="none"/>
        </w:rPr>
        <w:t>万元。其中，列入先进制造业倍增计划名单的企业实施的总投资</w:t>
      </w:r>
      <w:r>
        <w:rPr>
          <w:rFonts w:hint="eastAsia" w:ascii="Times" w:hAnsi="Times" w:eastAsia="仿宋_GB2312" w:cs="仿宋_GB2312"/>
          <w:kern w:val="0"/>
          <w:sz w:val="32"/>
          <w:szCs w:val="32"/>
          <w:highlight w:val="none"/>
        </w:rPr>
        <w:t>5</w:t>
      </w:r>
      <w:r>
        <w:rPr>
          <w:rFonts w:hint="eastAsia" w:ascii="Times" w:hAnsi="仿宋_GB2312" w:eastAsia="仿宋_GB2312" w:cs="仿宋_GB2312"/>
          <w:kern w:val="0"/>
          <w:sz w:val="32"/>
          <w:szCs w:val="32"/>
          <w:highlight w:val="none"/>
        </w:rPr>
        <w:t>亿元及以上的项目，单个项目最高补助</w:t>
      </w:r>
      <w:r>
        <w:rPr>
          <w:rFonts w:hint="eastAsia" w:ascii="Times" w:hAnsi="Times" w:eastAsia="仿宋_GB2312" w:cs="仿宋_GB2312"/>
          <w:kern w:val="0"/>
          <w:sz w:val="32"/>
          <w:szCs w:val="32"/>
          <w:highlight w:val="none"/>
        </w:rPr>
        <w:t>6000</w:t>
      </w:r>
      <w:r>
        <w:rPr>
          <w:rFonts w:hint="eastAsia" w:ascii="Times" w:hAnsi="仿宋_GB2312" w:eastAsia="仿宋_GB2312" w:cs="仿宋_GB2312"/>
          <w:kern w:val="0"/>
          <w:sz w:val="32"/>
          <w:szCs w:val="32"/>
          <w:highlight w:val="none"/>
        </w:rPr>
        <w:t>万元。</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市工信局、市财政局、各区政府（管委会）</w:t>
      </w:r>
    </w:p>
    <w:p>
      <w:pPr>
        <w:snapToGrid w:val="0"/>
        <w:spacing w:line="560" w:lineRule="exact"/>
        <w:ind w:firstLine="64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（二）完善技术创新基金</w:t>
      </w:r>
    </w:p>
    <w:p>
      <w:pPr>
        <w:pStyle w:val="11"/>
        <w:spacing w:before="0" w:beforeAutospacing="0" w:after="0" w:afterAutospacing="0" w:line="560" w:lineRule="exact"/>
        <w:ind w:firstLine="640" w:firstLineChars="200"/>
        <w:jc w:val="both"/>
        <w:rPr>
          <w:rFonts w:ascii="Times" w:hAnsi="Times" w:eastAsia="仿宋_GB2312" w:cs="仿宋_GB2312"/>
          <w:sz w:val="32"/>
          <w:szCs w:val="32"/>
          <w:highlight w:val="none"/>
        </w:rPr>
      </w:pPr>
      <w:r>
        <w:rPr>
          <w:rFonts w:hint="eastAsia" w:ascii="Times" w:hAnsi="仿宋_GB2312" w:eastAsia="仿宋_GB2312" w:cs="仿宋_GB2312"/>
          <w:sz w:val="32"/>
          <w:szCs w:val="32"/>
          <w:highlight w:val="none"/>
        </w:rPr>
        <w:t>将技术创新基金规模由</w:t>
      </w:r>
      <w:r>
        <w:rPr>
          <w:rFonts w:hint="eastAsia" w:ascii="Times" w:hAnsi="Times" w:eastAsia="仿宋_GB2312" w:cs="仿宋_GB2312"/>
          <w:sz w:val="32"/>
          <w:szCs w:val="32"/>
          <w:highlight w:val="none"/>
        </w:rPr>
        <w:t>150</w:t>
      </w:r>
      <w:r>
        <w:rPr>
          <w:rFonts w:hint="eastAsia" w:ascii="Times" w:hAnsi="仿宋_GB2312" w:eastAsia="仿宋_GB2312" w:cs="仿宋_GB2312"/>
          <w:sz w:val="32"/>
          <w:szCs w:val="32"/>
          <w:highlight w:val="none"/>
        </w:rPr>
        <w:t>亿元扩大至</w:t>
      </w:r>
      <w:r>
        <w:rPr>
          <w:rFonts w:hint="eastAsia" w:ascii="Times" w:hAnsi="Times" w:eastAsia="仿宋_GB2312" w:cs="仿宋_GB2312"/>
          <w:sz w:val="32"/>
          <w:szCs w:val="32"/>
          <w:highlight w:val="none"/>
        </w:rPr>
        <w:t>300</w:t>
      </w:r>
      <w:r>
        <w:rPr>
          <w:rFonts w:hint="eastAsia" w:ascii="Times" w:hAnsi="仿宋_GB2312" w:eastAsia="仿宋_GB2312" w:cs="仿宋_GB2312"/>
          <w:sz w:val="32"/>
          <w:szCs w:val="32"/>
          <w:highlight w:val="none"/>
        </w:rPr>
        <w:t>亿元，向企业增资扩产、技术改造和研发创新提供低成本融资。</w:t>
      </w:r>
    </w:p>
    <w:p>
      <w:pPr>
        <w:snapToGrid w:val="0"/>
        <w:spacing w:line="560" w:lineRule="exact"/>
        <w:ind w:firstLine="640"/>
        <w:rPr>
          <w:rFonts w:ascii="Times" w:hAnsi="Times" w:eastAsia="仿宋_GB2312" w:cs="仿宋_GB2312"/>
          <w:kern w:val="0"/>
          <w:sz w:val="32"/>
          <w:szCs w:val="32"/>
          <w:highlight w:val="none"/>
        </w:rPr>
      </w:pP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支持对象。</w:t>
      </w:r>
      <w:r>
        <w:rPr>
          <w:rFonts w:hint="eastAsia" w:ascii="Times" w:hAnsi="仿宋_GB2312" w:eastAsia="仿宋_GB2312" w:cs="仿宋_GB2312"/>
          <w:sz w:val="32"/>
          <w:szCs w:val="32"/>
          <w:highlight w:val="none"/>
        </w:rPr>
        <w:t>我市符合条件的</w:t>
      </w:r>
      <w:r>
        <w:rPr>
          <w:rFonts w:hint="eastAsia" w:ascii="Times" w:hAnsi="仿宋_GB2312" w:eastAsia="仿宋_GB2312" w:cs="仿宋_GB2312"/>
          <w:kern w:val="0"/>
          <w:sz w:val="32"/>
          <w:szCs w:val="32"/>
          <w:highlight w:val="none"/>
        </w:rPr>
        <w:t>增资扩产、技术改造、绿色低碳项目，以及研发投入达到一定条件的工业或软件信息企业。企业名单由相关政府部门和合作金融机构推荐产生，优先支持我市</w:t>
      </w:r>
      <w:r>
        <w:rPr>
          <w:rFonts w:hint="eastAsia" w:ascii="Times" w:hAnsi="Times" w:eastAsia="仿宋_GB2312" w:cs="仿宋_GB2312"/>
          <w:kern w:val="0"/>
          <w:sz w:val="32"/>
          <w:szCs w:val="32"/>
          <w:highlight w:val="none"/>
        </w:rPr>
        <w:t>“4+4+6”</w:t>
      </w:r>
      <w:r>
        <w:rPr>
          <w:rFonts w:hint="eastAsia" w:ascii="Times" w:hAnsi="仿宋_GB2312" w:eastAsia="仿宋_GB2312" w:cs="仿宋_GB2312"/>
          <w:kern w:val="0"/>
          <w:sz w:val="32"/>
          <w:szCs w:val="32"/>
          <w:highlight w:val="none"/>
        </w:rPr>
        <w:t>现代产业体系领域内的企业。</w:t>
      </w:r>
    </w:p>
    <w:p>
      <w:pPr>
        <w:snapToGrid w:val="0"/>
        <w:spacing w:line="560" w:lineRule="exact"/>
        <w:ind w:firstLine="640"/>
        <w:rPr>
          <w:rFonts w:ascii="Times" w:hAnsi="Times" w:eastAsia="仿宋_GB2312" w:cs="仿宋_GB2312"/>
          <w:b/>
          <w:sz w:val="32"/>
          <w:szCs w:val="32"/>
          <w:highlight w:val="none"/>
        </w:rPr>
      </w:pPr>
      <w:r>
        <w:rPr>
          <w:rFonts w:hint="eastAsia" w:ascii="Times" w:hAnsi="Times" w:eastAsia="仿宋_GB2312" w:cs="仿宋_GB2312"/>
          <w:b/>
          <w:sz w:val="32"/>
          <w:szCs w:val="32"/>
          <w:highlight w:val="none"/>
        </w:rPr>
        <w:t>2.</w:t>
      </w:r>
      <w:r>
        <w:rPr>
          <w:rFonts w:hint="eastAsia" w:ascii="Times" w:hAnsi="仿宋_GB2312" w:eastAsia="仿宋_GB2312" w:cs="仿宋_GB2312"/>
          <w:b/>
          <w:sz w:val="32"/>
          <w:szCs w:val="32"/>
          <w:highlight w:val="none"/>
        </w:rPr>
        <w:t>支持内容。</w:t>
      </w:r>
      <w:bookmarkStart w:id="0" w:name="_GoBack"/>
      <w:bookmarkEnd w:id="0"/>
    </w:p>
    <w:p>
      <w:pPr>
        <w:snapToGrid w:val="0"/>
        <w:spacing w:line="560" w:lineRule="exact"/>
        <w:ind w:firstLine="640"/>
        <w:rPr>
          <w:rFonts w:ascii="Times" w:hAnsi="Times" w:eastAsia="仿宋_GB2312" w:cs="仿宋_GB2312"/>
          <w:sz w:val="32"/>
          <w:szCs w:val="32"/>
          <w:highlight w:val="none"/>
        </w:rPr>
      </w:pPr>
      <w:r>
        <w:rPr>
          <w:rFonts w:hint="eastAsia" w:ascii="Times" w:hAnsi="仿宋_GB2312" w:eastAsia="仿宋_GB2312" w:cs="仿宋_GB2312"/>
          <w:b/>
          <w:sz w:val="32"/>
          <w:szCs w:val="32"/>
          <w:highlight w:val="none"/>
        </w:rPr>
        <w:t>（</w:t>
      </w: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）固定资产融资和</w:t>
      </w:r>
      <w:r>
        <w:rPr>
          <w:rFonts w:hint="eastAsia" w:ascii="Times" w:hAnsi="Times" w:eastAsia="仿宋_GB2312" w:cs="楷体"/>
          <w:b/>
          <w:kern w:val="0"/>
          <w:sz w:val="32"/>
          <w:szCs w:val="32"/>
          <w:highlight w:val="none"/>
        </w:rPr>
        <w:t>企业研发融资</w:t>
      </w:r>
      <w:r>
        <w:rPr>
          <w:rFonts w:hint="eastAsia" w:ascii="Times" w:hAnsi="仿宋_GB2312" w:eastAsia="仿宋_GB2312" w:cs="仿宋_GB2312"/>
          <w:sz w:val="32"/>
          <w:szCs w:val="32"/>
          <w:highlight w:val="none"/>
        </w:rPr>
        <w:t>。由政府方和合作机构按照</w:t>
      </w:r>
      <w:r>
        <w:rPr>
          <w:rFonts w:hint="eastAsia" w:ascii="Times" w:hAnsi="Times" w:eastAsia="仿宋_GB2312" w:cs="仿宋_GB2312"/>
          <w:sz w:val="32"/>
          <w:szCs w:val="32"/>
          <w:highlight w:val="none"/>
        </w:rPr>
        <w:t>2:98</w:t>
      </w:r>
      <w:r>
        <w:rPr>
          <w:rFonts w:hint="eastAsia" w:ascii="Times" w:hAnsi="仿宋_GB2312" w:eastAsia="仿宋_GB2312" w:cs="仿宋_GB2312"/>
          <w:sz w:val="32"/>
          <w:szCs w:val="32"/>
          <w:highlight w:val="none"/>
        </w:rPr>
        <w:t>的比例出资，企业融资利率为</w:t>
      </w:r>
      <w:r>
        <w:rPr>
          <w:rFonts w:hint="eastAsia" w:ascii="Times" w:hAnsi="Times" w:eastAsia="仿宋_GB2312" w:cs="仿宋_GB2312"/>
          <w:sz w:val="32"/>
          <w:szCs w:val="32"/>
          <w:highlight w:val="none"/>
        </w:rPr>
        <w:t>2%/</w:t>
      </w:r>
      <w:r>
        <w:rPr>
          <w:rFonts w:hint="eastAsia" w:ascii="Times" w:hAnsi="仿宋_GB2312" w:eastAsia="仿宋_GB2312" w:cs="仿宋_GB2312"/>
          <w:sz w:val="32"/>
          <w:szCs w:val="32"/>
          <w:highlight w:val="none"/>
        </w:rPr>
        <w:t>年，融资期限最长</w:t>
      </w:r>
      <w:r>
        <w:rPr>
          <w:rFonts w:hint="eastAsia" w:ascii="Times" w:hAnsi="Times" w:eastAsia="仿宋_GB2312" w:cs="仿宋_GB2312"/>
          <w:sz w:val="32"/>
          <w:szCs w:val="32"/>
          <w:highlight w:val="none"/>
        </w:rPr>
        <w:t>5</w:t>
      </w:r>
      <w:r>
        <w:rPr>
          <w:rFonts w:hint="eastAsia" w:ascii="Times" w:hAnsi="仿宋_GB2312" w:eastAsia="仿宋_GB2312" w:cs="仿宋_GB2312"/>
          <w:sz w:val="32"/>
          <w:szCs w:val="32"/>
          <w:highlight w:val="none"/>
        </w:rPr>
        <w:t>年。其中：</w:t>
      </w:r>
    </w:p>
    <w:p>
      <w:pPr>
        <w:snapToGrid w:val="0"/>
        <w:spacing w:line="560" w:lineRule="exact"/>
        <w:ind w:firstLine="640"/>
        <w:rPr>
          <w:rFonts w:ascii="Times" w:hAnsi="Times" w:eastAsia="仿宋_GB2312" w:cs="楷体"/>
          <w:sz w:val="32"/>
          <w:szCs w:val="32"/>
          <w:highlight w:val="none"/>
        </w:rPr>
      </w:pPr>
      <w:r>
        <w:rPr>
          <w:rFonts w:hint="eastAsia" w:ascii="Times" w:hAnsi="仿宋_GB2312" w:eastAsia="仿宋_GB2312" w:cs="仿宋_GB2312"/>
          <w:b/>
          <w:sz w:val="32"/>
          <w:szCs w:val="32"/>
          <w:highlight w:val="none"/>
        </w:rPr>
        <w:t>固定资产融资。</w:t>
      </w:r>
      <w:r>
        <w:rPr>
          <w:rFonts w:hint="eastAsia" w:ascii="Times" w:hAnsi="仿宋_GB2312" w:eastAsia="仿宋_GB2312" w:cs="仿宋_GB2312"/>
          <w:sz w:val="32"/>
          <w:szCs w:val="32"/>
          <w:highlight w:val="none"/>
        </w:rPr>
        <w:t>单个项目放款金额最高</w:t>
      </w:r>
      <w:r>
        <w:rPr>
          <w:rFonts w:hint="eastAsia" w:ascii="Times" w:hAnsi="Times" w:eastAsia="仿宋_GB2312" w:cs="仿宋_GB2312"/>
          <w:sz w:val="32"/>
          <w:szCs w:val="32"/>
          <w:highlight w:val="none"/>
        </w:rPr>
        <w:t>5</w:t>
      </w:r>
      <w:r>
        <w:rPr>
          <w:rFonts w:hint="eastAsia" w:ascii="Times" w:hAnsi="仿宋_GB2312" w:eastAsia="仿宋_GB2312" w:cs="仿宋_GB2312"/>
          <w:sz w:val="32"/>
          <w:szCs w:val="32"/>
          <w:highlight w:val="none"/>
        </w:rPr>
        <w:t>亿元且不超过项目总投资的</w:t>
      </w:r>
      <w:r>
        <w:rPr>
          <w:rFonts w:hint="eastAsia" w:ascii="Times" w:hAnsi="Times" w:eastAsia="仿宋_GB2312" w:cs="仿宋_GB2312"/>
          <w:sz w:val="32"/>
          <w:szCs w:val="32"/>
          <w:highlight w:val="none"/>
        </w:rPr>
        <w:t>90%</w:t>
      </w:r>
      <w:r>
        <w:rPr>
          <w:rFonts w:hint="eastAsia" w:ascii="Times" w:hAnsi="仿宋_GB2312" w:eastAsia="仿宋_GB2312" w:cs="仿宋_GB2312"/>
          <w:sz w:val="32"/>
          <w:szCs w:val="32"/>
          <w:highlight w:val="none"/>
        </w:rPr>
        <w:t>，其中固定资产投资融资比例最高</w:t>
      </w:r>
      <w:r>
        <w:rPr>
          <w:rFonts w:hint="eastAsia" w:ascii="Times" w:hAnsi="Times" w:eastAsia="仿宋_GB2312" w:cs="仿宋_GB2312"/>
          <w:sz w:val="32"/>
          <w:szCs w:val="32"/>
          <w:highlight w:val="none"/>
        </w:rPr>
        <w:t>80%</w:t>
      </w:r>
      <w:r>
        <w:rPr>
          <w:rFonts w:hint="eastAsia" w:ascii="Times" w:hAnsi="仿宋_GB2312" w:eastAsia="仿宋_GB2312" w:cs="仿宋_GB2312"/>
          <w:sz w:val="32"/>
          <w:szCs w:val="32"/>
          <w:highlight w:val="none"/>
        </w:rPr>
        <w:t>，所在企业可配套申请项目总投资</w:t>
      </w:r>
      <w:r>
        <w:rPr>
          <w:rFonts w:hint="eastAsia" w:ascii="Times" w:hAnsi="Times" w:eastAsia="仿宋_GB2312" w:cs="仿宋_GB2312"/>
          <w:sz w:val="32"/>
          <w:szCs w:val="32"/>
          <w:highlight w:val="none"/>
        </w:rPr>
        <w:t>10%</w:t>
      </w:r>
      <w:r>
        <w:rPr>
          <w:rFonts w:hint="eastAsia" w:ascii="Times" w:hAnsi="仿宋_GB2312" w:eastAsia="仿宋_GB2312" w:cs="仿宋_GB2312"/>
          <w:sz w:val="32"/>
          <w:szCs w:val="32"/>
          <w:highlight w:val="none"/>
        </w:rPr>
        <w:t>的流动资金贷</w:t>
      </w:r>
      <w:r>
        <w:rPr>
          <w:rFonts w:hint="eastAsia" w:ascii="Times" w:hAnsi="Times" w:eastAsia="仿宋_GB2312" w:cs="楷体"/>
          <w:sz w:val="32"/>
          <w:szCs w:val="32"/>
          <w:highlight w:val="none"/>
        </w:rPr>
        <w:t>款。</w:t>
      </w:r>
    </w:p>
    <w:p>
      <w:pPr>
        <w:snapToGrid w:val="0"/>
        <w:spacing w:line="560" w:lineRule="exact"/>
        <w:ind w:firstLine="642" w:firstLineChars="200"/>
        <w:rPr>
          <w:rFonts w:ascii="Times" w:hAnsi="Times" w:eastAsia="仿宋_GB2312" w:cs="楷体"/>
          <w:kern w:val="0"/>
          <w:sz w:val="32"/>
          <w:szCs w:val="32"/>
          <w:highlight w:val="none"/>
        </w:rPr>
      </w:pPr>
      <w:r>
        <w:rPr>
          <w:rFonts w:hint="eastAsia" w:ascii="Times" w:hAnsi="Times" w:eastAsia="仿宋_GB2312" w:cs="楷体"/>
          <w:b/>
          <w:kern w:val="0"/>
          <w:sz w:val="32"/>
          <w:szCs w:val="32"/>
          <w:highlight w:val="none"/>
        </w:rPr>
        <w:t>企业研发融资</w:t>
      </w:r>
      <w:r>
        <w:rPr>
          <w:rFonts w:hint="eastAsia" w:ascii="Times" w:hAnsi="Times" w:eastAsia="仿宋_GB2312" w:cs="楷体"/>
          <w:kern w:val="0"/>
          <w:sz w:val="32"/>
          <w:szCs w:val="32"/>
          <w:highlight w:val="none"/>
        </w:rPr>
        <w:t>。对存量企业，单家企业放款</w:t>
      </w:r>
      <w:r>
        <w:rPr>
          <w:rFonts w:hint="eastAsia" w:ascii="Times" w:hAnsi="仿宋_GB2312" w:eastAsia="仿宋_GB2312" w:cs="仿宋_GB2312"/>
          <w:sz w:val="32"/>
          <w:szCs w:val="32"/>
          <w:highlight w:val="none"/>
        </w:rPr>
        <w:t>最高</w:t>
      </w:r>
      <w:r>
        <w:rPr>
          <w:rFonts w:hint="eastAsia" w:ascii="Times" w:hAnsi="Times" w:eastAsia="仿宋_GB2312" w:cs="楷体"/>
          <w:kern w:val="0"/>
          <w:sz w:val="32"/>
          <w:szCs w:val="32"/>
          <w:highlight w:val="none"/>
        </w:rPr>
        <w:t>5000万元且不超过上年企业研发费用的50%。对新注册企业，单家企业放款最高1000万元。</w:t>
      </w:r>
    </w:p>
    <w:p>
      <w:pPr>
        <w:spacing w:line="580" w:lineRule="exact"/>
        <w:ind w:firstLine="640"/>
        <w:rPr>
          <w:rFonts w:hint="eastAsia" w:ascii="Times" w:hAnsi="Times" w:eastAsia="仿宋_GB2312" w:cs="仿宋_GB2312"/>
          <w:sz w:val="32"/>
          <w:szCs w:val="32"/>
          <w:highlight w:val="none"/>
          <w:lang w:eastAsia="zh-CN"/>
        </w:rPr>
      </w:pPr>
      <w:r>
        <w:rPr>
          <w:rFonts w:hint="eastAsia" w:ascii="Times" w:hAnsi="Times" w:eastAsia="仿宋_GB2312" w:cs="楷体"/>
          <w:b/>
          <w:kern w:val="0"/>
          <w:sz w:val="32"/>
          <w:szCs w:val="32"/>
          <w:highlight w:val="none"/>
        </w:rPr>
        <w:t>（2）融资租赁。</w:t>
      </w:r>
      <w:r>
        <w:rPr>
          <w:rFonts w:hint="eastAsia" w:ascii="Times" w:hAnsi="仿宋_GB2312" w:eastAsia="仿宋_GB2312" w:cs="仿宋_GB2312"/>
          <w:sz w:val="32"/>
          <w:szCs w:val="32"/>
          <w:highlight w:val="none"/>
        </w:rPr>
        <w:t>由政府方和合作机构按照</w:t>
      </w:r>
      <w:r>
        <w:rPr>
          <w:rFonts w:hint="eastAsia" w:ascii="Times" w:hAnsi="Times" w:eastAsia="仿宋_GB2312" w:cs="仿宋_GB2312"/>
          <w:sz w:val="32"/>
          <w:szCs w:val="32"/>
          <w:highlight w:val="none"/>
        </w:rPr>
        <w:t>2:98</w:t>
      </w:r>
      <w:r>
        <w:rPr>
          <w:rFonts w:hint="eastAsia" w:ascii="Times" w:hAnsi="仿宋_GB2312" w:eastAsia="仿宋_GB2312" w:cs="仿宋_GB2312"/>
          <w:sz w:val="32"/>
          <w:szCs w:val="32"/>
          <w:highlight w:val="none"/>
        </w:rPr>
        <w:t>出资，设立技术创新基金融资租赁子基金，首期规模</w:t>
      </w:r>
      <w:r>
        <w:rPr>
          <w:rFonts w:hint="eastAsia" w:ascii="Times" w:hAnsi="Times" w:eastAsia="仿宋_GB2312" w:cs="仿宋_GB2312"/>
          <w:sz w:val="32"/>
          <w:szCs w:val="32"/>
          <w:highlight w:val="none"/>
        </w:rPr>
        <w:t>30</w:t>
      </w:r>
      <w:r>
        <w:rPr>
          <w:rFonts w:hint="eastAsia" w:ascii="Times" w:hAnsi="仿宋_GB2312" w:eastAsia="仿宋_GB2312" w:cs="仿宋_GB2312"/>
          <w:sz w:val="32"/>
          <w:szCs w:val="32"/>
          <w:highlight w:val="none"/>
        </w:rPr>
        <w:t>亿元。基金对企业开展售后回租或直租等融资租赁业务给予融资支持，单家企业享受支持的租赁业务存续金额最高</w:t>
      </w:r>
      <w:r>
        <w:rPr>
          <w:rFonts w:hint="eastAsia" w:ascii="Times" w:hAnsi="Times" w:eastAsia="仿宋_GB2312" w:cs="仿宋_GB2312"/>
          <w:sz w:val="32"/>
          <w:szCs w:val="32"/>
          <w:highlight w:val="none"/>
        </w:rPr>
        <w:t>5000</w:t>
      </w:r>
      <w:r>
        <w:rPr>
          <w:rFonts w:hint="eastAsia" w:ascii="Times" w:hAnsi="仿宋_GB2312" w:eastAsia="仿宋_GB2312" w:cs="仿宋_GB2312"/>
          <w:sz w:val="32"/>
          <w:szCs w:val="32"/>
          <w:highlight w:val="none"/>
        </w:rPr>
        <w:t>万元，融资期限最长</w:t>
      </w:r>
      <w:r>
        <w:rPr>
          <w:rFonts w:hint="eastAsia" w:ascii="Times" w:hAnsi="Times" w:eastAsia="仿宋_GB2312" w:cs="仿宋_GB2312"/>
          <w:sz w:val="32"/>
          <w:szCs w:val="32"/>
          <w:highlight w:val="none"/>
        </w:rPr>
        <w:t>5</w:t>
      </w:r>
      <w:r>
        <w:rPr>
          <w:rFonts w:hint="eastAsia" w:ascii="Times" w:hAnsi="仿宋_GB2312" w:eastAsia="仿宋_GB2312" w:cs="仿宋_GB2312"/>
          <w:sz w:val="32"/>
          <w:szCs w:val="32"/>
          <w:highlight w:val="none"/>
        </w:rPr>
        <w:t>年。企业融资租赁成本由财政给予一定比例补贴，补贴比例与同期技术创新基金银行贷款贴息率一致</w:t>
      </w:r>
      <w:r>
        <w:rPr>
          <w:rFonts w:hint="eastAsia" w:ascii="Times" w:hAnsi="仿宋_GB2312" w:eastAsia="仿宋_GB2312" w:cs="仿宋_GB2312"/>
          <w:sz w:val="32"/>
          <w:szCs w:val="32"/>
          <w:highlight w:val="none"/>
          <w:lang w:eastAsia="zh-CN"/>
        </w:rPr>
        <w:t>。</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市财政局、市工信局、市科技局、市发改委、各区政府（管委会）、相关金融机构</w:t>
      </w:r>
    </w:p>
    <w:p>
      <w:pPr>
        <w:snapToGrid w:val="0"/>
        <w:spacing w:line="560" w:lineRule="exact"/>
        <w:ind w:firstLine="642" w:firstLineChars="20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（三）扩大中小微企业融资增信基金规模</w:t>
      </w:r>
    </w:p>
    <w:p>
      <w:pPr>
        <w:pStyle w:val="2"/>
        <w:spacing w:line="560" w:lineRule="exact"/>
        <w:ind w:firstLine="640" w:firstLineChars="200"/>
        <w:rPr>
          <w:rFonts w:ascii="Times" w:hAnsi="Times" w:eastAsia="仿宋_GB2312" w:cs="楷体"/>
          <w:kern w:val="0"/>
          <w:sz w:val="32"/>
          <w:szCs w:val="32"/>
          <w:highlight w:val="none"/>
        </w:rPr>
      </w:pPr>
      <w:r>
        <w:rPr>
          <w:rFonts w:hint="eastAsia" w:ascii="Times" w:hAnsi="Times" w:eastAsia="仿宋_GB2312" w:cs="楷体"/>
          <w:kern w:val="0"/>
          <w:sz w:val="32"/>
          <w:szCs w:val="32"/>
          <w:highlight w:val="none"/>
        </w:rPr>
        <w:t>将增信基金规模从1</w:t>
      </w:r>
      <w:r>
        <w:rPr>
          <w:rFonts w:ascii="Times" w:hAnsi="Times" w:eastAsia="仿宋_GB2312" w:cs="楷体"/>
          <w:kern w:val="0"/>
          <w:sz w:val="32"/>
          <w:szCs w:val="32"/>
          <w:highlight w:val="none"/>
        </w:rPr>
        <w:t>60亿元扩大至300亿元</w:t>
      </w:r>
      <w:r>
        <w:rPr>
          <w:rFonts w:hint="eastAsia" w:ascii="Times" w:hAnsi="Times" w:eastAsia="仿宋_GB2312" w:cs="楷体"/>
          <w:kern w:val="0"/>
          <w:sz w:val="32"/>
          <w:szCs w:val="32"/>
          <w:highlight w:val="none"/>
        </w:rPr>
        <w:t>，向我市中小微企业提供免抵押的信用贷款担保，引导金融机构支持中小微企业扩大生产。</w:t>
      </w:r>
    </w:p>
    <w:p>
      <w:pPr>
        <w:pStyle w:val="2"/>
        <w:spacing w:line="560" w:lineRule="exact"/>
        <w:ind w:firstLine="642" w:firstLineChars="200"/>
        <w:rPr>
          <w:rFonts w:ascii="Times" w:hAnsi="Times" w:eastAsia="仿宋_GB2312" w:cs="楷体"/>
          <w:kern w:val="0"/>
          <w:sz w:val="32"/>
          <w:szCs w:val="32"/>
          <w:highlight w:val="none"/>
        </w:rPr>
      </w:pPr>
      <w:r>
        <w:rPr>
          <w:rFonts w:hint="eastAsia" w:ascii="Times" w:hAnsi="Times" w:eastAsia="仿宋_GB2312" w:cs="楷体"/>
          <w:b/>
          <w:kern w:val="0"/>
          <w:sz w:val="32"/>
          <w:szCs w:val="32"/>
          <w:highlight w:val="none"/>
        </w:rPr>
        <w:t>1</w:t>
      </w:r>
      <w:r>
        <w:rPr>
          <w:rFonts w:ascii="Times" w:hAnsi="Times" w:eastAsia="仿宋_GB2312" w:cs="楷体"/>
          <w:b/>
          <w:kern w:val="0"/>
          <w:sz w:val="32"/>
          <w:szCs w:val="32"/>
          <w:highlight w:val="none"/>
        </w:rPr>
        <w:t>.</w:t>
      </w:r>
      <w:r>
        <w:rPr>
          <w:rFonts w:hint="eastAsia" w:ascii="Times" w:hAnsi="Times" w:eastAsia="仿宋_GB2312" w:cs="楷体"/>
          <w:b/>
          <w:kern w:val="0"/>
          <w:sz w:val="32"/>
          <w:szCs w:val="32"/>
          <w:highlight w:val="none"/>
        </w:rPr>
        <w:t>支持对象。</w:t>
      </w:r>
      <w:r>
        <w:rPr>
          <w:rFonts w:hint="eastAsia" w:ascii="Times" w:hAnsi="Times" w:eastAsia="仿宋_GB2312" w:cs="楷体"/>
          <w:kern w:val="0"/>
          <w:sz w:val="32"/>
          <w:szCs w:val="32"/>
          <w:highlight w:val="none"/>
        </w:rPr>
        <w:t>全面支持我市各行业中小微企业，并针对先进制造业、</w:t>
      </w:r>
      <w:r>
        <w:rPr>
          <w:rFonts w:hint="eastAsia" w:ascii="Times" w:hAnsi="Times" w:eastAsia="仿宋_GB2312" w:cs="楷体"/>
          <w:kern w:val="0"/>
          <w:sz w:val="32"/>
          <w:szCs w:val="32"/>
          <w:highlight w:val="none"/>
          <w:lang w:eastAsia="zh-CN"/>
        </w:rPr>
        <w:t>商贸物流</w:t>
      </w:r>
      <w:r>
        <w:rPr>
          <w:rFonts w:hint="eastAsia" w:ascii="Times" w:hAnsi="Times" w:eastAsia="仿宋_GB2312" w:cs="楷体"/>
          <w:kern w:val="0"/>
          <w:sz w:val="32"/>
          <w:szCs w:val="32"/>
          <w:highlight w:val="none"/>
        </w:rPr>
        <w:t>、文化旅游以及首贷</w:t>
      </w:r>
      <w:r>
        <w:rPr>
          <w:rFonts w:hint="eastAsia" w:ascii="Times" w:hAnsi="Times" w:eastAsia="仿宋_GB2312" w:cs="楷体"/>
          <w:kern w:val="0"/>
          <w:sz w:val="32"/>
          <w:szCs w:val="32"/>
          <w:highlight w:val="none"/>
          <w:lang w:eastAsia="zh-CN"/>
        </w:rPr>
        <w:t>续贷</w:t>
      </w:r>
      <w:r>
        <w:rPr>
          <w:rFonts w:hint="eastAsia" w:ascii="Times" w:hAnsi="Times" w:eastAsia="仿宋_GB2312" w:cs="楷体"/>
          <w:kern w:val="0"/>
          <w:sz w:val="32"/>
          <w:szCs w:val="32"/>
          <w:highlight w:val="none"/>
        </w:rPr>
        <w:t>等重点领域设立专项子基金，加强融资额度保障。</w:t>
      </w:r>
    </w:p>
    <w:p>
      <w:pPr>
        <w:spacing w:line="560" w:lineRule="exact"/>
        <w:ind w:firstLine="642" w:firstLineChars="200"/>
        <w:rPr>
          <w:rFonts w:ascii="Times" w:hAnsi="Times" w:eastAsia="仿宋_GB2312"/>
          <w:highlight w:val="none"/>
        </w:rPr>
      </w:pPr>
      <w:r>
        <w:rPr>
          <w:rFonts w:hint="eastAsia" w:ascii="Times" w:hAnsi="Times" w:eastAsia="仿宋_GB2312" w:cs="楷体"/>
          <w:b/>
          <w:kern w:val="0"/>
          <w:sz w:val="32"/>
          <w:szCs w:val="32"/>
          <w:highlight w:val="none"/>
        </w:rPr>
        <w:t>2</w:t>
      </w:r>
      <w:r>
        <w:rPr>
          <w:rFonts w:ascii="Times" w:hAnsi="Times" w:eastAsia="仿宋_GB2312" w:cs="楷体"/>
          <w:b/>
          <w:kern w:val="0"/>
          <w:sz w:val="32"/>
          <w:szCs w:val="32"/>
          <w:highlight w:val="none"/>
        </w:rPr>
        <w:t>.支持</w:t>
      </w:r>
      <w:r>
        <w:rPr>
          <w:rFonts w:hint="eastAsia" w:ascii="Times" w:hAnsi="Times" w:eastAsia="仿宋_GB2312" w:cs="楷体"/>
          <w:b/>
          <w:kern w:val="0"/>
          <w:sz w:val="32"/>
          <w:szCs w:val="32"/>
          <w:highlight w:val="none"/>
        </w:rPr>
        <w:t>内容。</w:t>
      </w:r>
      <w:r>
        <w:rPr>
          <w:rFonts w:hint="eastAsia" w:ascii="Times" w:hAnsi="Times" w:eastAsia="仿宋_GB2312" w:cs="楷体"/>
          <w:kern w:val="0"/>
          <w:sz w:val="32"/>
          <w:szCs w:val="32"/>
          <w:highlight w:val="none"/>
        </w:rPr>
        <w:t>单家企业放款最高3000万元，</w:t>
      </w:r>
      <w:r>
        <w:rPr>
          <w:rFonts w:hint="eastAsia" w:ascii="Times" w:hAnsi="仿宋_GB2312" w:eastAsia="仿宋_GB2312" w:cs="仿宋_GB2312"/>
          <w:sz w:val="32"/>
          <w:szCs w:val="32"/>
          <w:highlight w:val="none"/>
        </w:rPr>
        <w:t>融资期限最长</w:t>
      </w:r>
      <w:r>
        <w:rPr>
          <w:rFonts w:hint="eastAsia" w:ascii="Times" w:hAnsi="Times" w:eastAsia="仿宋_GB2312" w:cs="仿宋_GB2312"/>
          <w:sz w:val="32"/>
          <w:szCs w:val="32"/>
          <w:highlight w:val="none"/>
        </w:rPr>
        <w:t>3</w:t>
      </w:r>
      <w:r>
        <w:rPr>
          <w:rFonts w:hint="eastAsia" w:ascii="Times" w:hAnsi="仿宋_GB2312" w:eastAsia="仿宋_GB2312" w:cs="仿宋_GB2312"/>
          <w:sz w:val="32"/>
          <w:szCs w:val="32"/>
          <w:highlight w:val="none"/>
        </w:rPr>
        <w:t>年</w:t>
      </w:r>
      <w:r>
        <w:rPr>
          <w:rFonts w:hint="eastAsia" w:ascii="Times" w:hAnsi="Times" w:eastAsia="仿宋_GB2312" w:cs="楷体"/>
          <w:kern w:val="0"/>
          <w:sz w:val="32"/>
          <w:szCs w:val="32"/>
          <w:highlight w:val="none"/>
        </w:rPr>
        <w:t>。发生坏账损失时，由政府与银行按照8:2的比例分担风险。</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市财政局、市金融局、各区政府（管委会）、相关金融机构</w:t>
      </w:r>
    </w:p>
    <w:p>
      <w:pPr>
        <w:snapToGrid w:val="0"/>
        <w:spacing w:line="560" w:lineRule="exact"/>
        <w:ind w:firstLine="64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（四）设立供应链协作基金</w:t>
      </w:r>
    </w:p>
    <w:p>
      <w:pPr>
        <w:pStyle w:val="11"/>
        <w:spacing w:before="0" w:beforeAutospacing="0" w:after="0" w:afterAutospacing="0" w:line="560" w:lineRule="exact"/>
        <w:ind w:firstLine="640" w:firstLineChars="200"/>
        <w:jc w:val="both"/>
        <w:rPr>
          <w:rFonts w:ascii="Times" w:hAnsi="Times" w:eastAsia="仿宋_GB2312" w:cs="仿宋_GB2312"/>
          <w:sz w:val="32"/>
          <w:szCs w:val="32"/>
          <w:highlight w:val="none"/>
        </w:rPr>
      </w:pPr>
      <w:r>
        <w:rPr>
          <w:rFonts w:hint="eastAsia" w:ascii="Times" w:hAnsi="仿宋_GB2312" w:eastAsia="仿宋_GB2312" w:cs="仿宋_GB2312"/>
          <w:sz w:val="32"/>
          <w:szCs w:val="32"/>
          <w:highlight w:val="none"/>
        </w:rPr>
        <w:t>设立</w:t>
      </w:r>
      <w:r>
        <w:rPr>
          <w:rFonts w:hint="eastAsia" w:ascii="Times" w:hAnsi="Times" w:eastAsia="仿宋_GB2312" w:cs="仿宋_GB2312"/>
          <w:sz w:val="32"/>
          <w:szCs w:val="32"/>
          <w:highlight w:val="none"/>
        </w:rPr>
        <w:t>50</w:t>
      </w:r>
      <w:r>
        <w:rPr>
          <w:rFonts w:hint="eastAsia" w:ascii="Times" w:hAnsi="仿宋_GB2312" w:eastAsia="仿宋_GB2312" w:cs="仿宋_GB2312"/>
          <w:sz w:val="32"/>
          <w:szCs w:val="32"/>
          <w:highlight w:val="none"/>
        </w:rPr>
        <w:t>亿元的供应链协作基金，分设</w:t>
      </w:r>
      <w:r>
        <w:rPr>
          <w:rFonts w:hint="eastAsia" w:ascii="Times" w:hAnsi="仿宋_GB2312" w:eastAsia="仿宋_GB2312" w:cs="仿宋_GB2312"/>
          <w:sz w:val="32"/>
          <w:szCs w:val="32"/>
          <w:highlight w:val="none"/>
          <w:lang w:eastAsia="zh-CN"/>
        </w:rPr>
        <w:t>工业企业供应</w:t>
      </w:r>
      <w:r>
        <w:rPr>
          <w:rFonts w:hint="eastAsia" w:ascii="Times" w:hAnsi="仿宋_GB2312" w:eastAsia="仿宋_GB2312" w:cs="仿宋_GB2312"/>
          <w:sz w:val="32"/>
          <w:szCs w:val="32"/>
          <w:highlight w:val="none"/>
        </w:rPr>
        <w:t>链</w:t>
      </w:r>
      <w:r>
        <w:rPr>
          <w:rFonts w:hint="eastAsia" w:ascii="Times" w:hAnsi="仿宋_GB2312" w:eastAsia="仿宋_GB2312" w:cs="仿宋_GB2312"/>
          <w:sz w:val="32"/>
          <w:szCs w:val="32"/>
          <w:highlight w:val="none"/>
          <w:lang w:eastAsia="zh-CN"/>
        </w:rPr>
        <w:t>子基金</w:t>
      </w:r>
      <w:r>
        <w:rPr>
          <w:rFonts w:hint="eastAsia" w:ascii="Times" w:hAnsi="仿宋_GB2312" w:eastAsia="仿宋_GB2312" w:cs="仿宋_GB2312"/>
          <w:sz w:val="32"/>
          <w:szCs w:val="32"/>
          <w:highlight w:val="none"/>
        </w:rPr>
        <w:t>和</w:t>
      </w:r>
      <w:r>
        <w:rPr>
          <w:rFonts w:hint="eastAsia" w:ascii="Times" w:hAnsi="仿宋_GB2312" w:eastAsia="仿宋_GB2312" w:cs="仿宋_GB2312"/>
          <w:sz w:val="32"/>
          <w:szCs w:val="32"/>
          <w:highlight w:val="none"/>
          <w:lang w:eastAsia="zh-CN"/>
        </w:rPr>
        <w:t>商贸企业</w:t>
      </w:r>
      <w:r>
        <w:rPr>
          <w:rFonts w:hint="eastAsia" w:ascii="Times" w:hAnsi="仿宋_GB2312" w:eastAsia="仿宋_GB2312" w:cs="仿宋_GB2312"/>
          <w:sz w:val="32"/>
          <w:szCs w:val="32"/>
          <w:highlight w:val="none"/>
        </w:rPr>
        <w:t>供应链子基金各</w:t>
      </w:r>
      <w:r>
        <w:rPr>
          <w:rFonts w:hint="eastAsia" w:ascii="Times" w:hAnsi="Times" w:eastAsia="仿宋_GB2312" w:cs="仿宋_GB2312"/>
          <w:sz w:val="32"/>
          <w:szCs w:val="32"/>
          <w:highlight w:val="none"/>
        </w:rPr>
        <w:t>25</w:t>
      </w:r>
      <w:r>
        <w:rPr>
          <w:rFonts w:hint="eastAsia" w:ascii="Times" w:hAnsi="仿宋_GB2312" w:eastAsia="仿宋_GB2312" w:cs="仿宋_GB2312"/>
          <w:sz w:val="32"/>
          <w:szCs w:val="32"/>
          <w:highlight w:val="none"/>
        </w:rPr>
        <w:t>亿元，采取“白名单”管理方式，</w:t>
      </w:r>
      <w:r>
        <w:rPr>
          <w:rFonts w:hint="eastAsia" w:ascii="Times" w:hAnsi="仿宋_GB2312" w:eastAsia="仿宋_GB2312" w:cs="仿宋_GB2312"/>
          <w:sz w:val="32"/>
          <w:szCs w:val="32"/>
          <w:highlight w:val="none"/>
          <w:lang w:eastAsia="zh-CN"/>
        </w:rPr>
        <w:t>对列入“白名单”的</w:t>
      </w:r>
      <w:r>
        <w:rPr>
          <w:rFonts w:hint="eastAsia" w:ascii="Times" w:hAnsi="仿宋_GB2312" w:eastAsia="仿宋_GB2312" w:cs="仿宋_GB2312"/>
          <w:sz w:val="32"/>
          <w:szCs w:val="32"/>
          <w:highlight w:val="none"/>
        </w:rPr>
        <w:t>链主及其协同企业提供融资支持，促进供应链上下游协作扩产。</w:t>
      </w:r>
    </w:p>
    <w:p>
      <w:pPr>
        <w:snapToGrid w:val="0"/>
        <w:spacing w:line="560" w:lineRule="exact"/>
        <w:ind w:firstLine="640"/>
        <w:rPr>
          <w:rFonts w:ascii="Times" w:hAnsi="Times" w:eastAsia="仿宋_GB2312" w:cs="仿宋_GB2312"/>
          <w:b/>
          <w:bCs/>
          <w:sz w:val="32"/>
          <w:szCs w:val="32"/>
          <w:highlight w:val="none"/>
        </w:rPr>
      </w:pPr>
      <w:r>
        <w:rPr>
          <w:rFonts w:hint="eastAsia" w:ascii="Times" w:hAnsi="Times" w:eastAsia="仿宋_GB2312" w:cs="仿宋_GB2312"/>
          <w:b/>
          <w:sz w:val="32"/>
          <w:szCs w:val="32"/>
          <w:highlight w:val="none"/>
        </w:rPr>
        <w:t>1.</w:t>
      </w:r>
      <w:r>
        <w:rPr>
          <w:rFonts w:hint="eastAsia" w:ascii="Times" w:hAnsi="Times" w:eastAsia="仿宋_GB2312" w:cs="仿宋_GB2312"/>
          <w:b/>
          <w:bCs/>
          <w:sz w:val="32"/>
          <w:szCs w:val="32"/>
          <w:highlight w:val="none"/>
        </w:rPr>
        <w:t xml:space="preserve"> </w:t>
      </w:r>
      <w:r>
        <w:rPr>
          <w:rFonts w:hint="eastAsia" w:ascii="Times" w:hAnsi="仿宋_GB2312" w:eastAsia="仿宋_GB2312" w:cs="仿宋_GB2312"/>
          <w:b/>
          <w:bCs/>
          <w:sz w:val="32"/>
          <w:szCs w:val="32"/>
          <w:highlight w:val="none"/>
          <w:lang w:eastAsia="zh-CN"/>
        </w:rPr>
        <w:t>工业企业供应链</w:t>
      </w:r>
      <w:r>
        <w:rPr>
          <w:rFonts w:hint="eastAsia" w:ascii="Times" w:hAnsi="仿宋_GB2312" w:eastAsia="仿宋_GB2312" w:cs="仿宋_GB2312"/>
          <w:b/>
          <w:bCs/>
          <w:sz w:val="32"/>
          <w:szCs w:val="32"/>
          <w:highlight w:val="none"/>
        </w:rPr>
        <w:t>子基金</w:t>
      </w:r>
    </w:p>
    <w:p>
      <w:pPr>
        <w:snapToGrid w:val="0"/>
        <w:spacing w:line="560" w:lineRule="exact"/>
        <w:ind w:firstLine="640"/>
        <w:rPr>
          <w:rFonts w:ascii="Times" w:hAnsi="Times" w:eastAsia="仿宋_GB2312" w:cs="仿宋_GB2312"/>
          <w:sz w:val="32"/>
          <w:szCs w:val="32"/>
          <w:highlight w:val="none"/>
        </w:rPr>
      </w:pPr>
      <w:r>
        <w:rPr>
          <w:rFonts w:hint="eastAsia" w:ascii="Times" w:hAnsi="仿宋_GB2312" w:eastAsia="仿宋_GB2312" w:cs="仿宋_GB2312"/>
          <w:b/>
          <w:sz w:val="32"/>
          <w:szCs w:val="32"/>
          <w:highlight w:val="none"/>
        </w:rPr>
        <w:t>（</w:t>
      </w: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）支持对象。</w:t>
      </w:r>
      <w:r>
        <w:rPr>
          <w:rFonts w:hint="eastAsia" w:ascii="Times" w:hAnsi="仿宋_GB2312" w:eastAsia="仿宋_GB2312" w:cs="仿宋_GB2312"/>
          <w:kern w:val="0"/>
          <w:sz w:val="32"/>
          <w:szCs w:val="32"/>
          <w:highlight w:val="none"/>
        </w:rPr>
        <w:t>我市符合条件的工业链主企业及其在厦上下游配套企业。</w:t>
      </w:r>
    </w:p>
    <w:p>
      <w:pPr>
        <w:snapToGrid w:val="0"/>
        <w:spacing w:line="560" w:lineRule="exact"/>
        <w:ind w:firstLine="640"/>
        <w:rPr>
          <w:rFonts w:ascii="Times" w:hAnsi="Times" w:eastAsia="仿宋_GB2312" w:cs="仿宋_GB2312"/>
          <w:sz w:val="32"/>
          <w:szCs w:val="32"/>
          <w:highlight w:val="none"/>
        </w:rPr>
      </w:pPr>
      <w:r>
        <w:rPr>
          <w:rFonts w:hint="eastAsia" w:ascii="Times" w:hAnsi="Times" w:eastAsia="仿宋_GB2312" w:cs="楷体"/>
          <w:b/>
          <w:kern w:val="0"/>
          <w:sz w:val="32"/>
          <w:szCs w:val="32"/>
          <w:highlight w:val="none"/>
        </w:rPr>
        <w:t>（2）</w:t>
      </w:r>
      <w:r>
        <w:rPr>
          <w:rFonts w:hint="eastAsia" w:ascii="Times" w:hAnsi="仿宋_GB2312" w:eastAsia="仿宋_GB2312" w:cs="仿宋_GB2312"/>
          <w:b/>
          <w:sz w:val="32"/>
          <w:szCs w:val="32"/>
          <w:highlight w:val="none"/>
        </w:rPr>
        <w:t>支持内容。</w:t>
      </w:r>
      <w:r>
        <w:rPr>
          <w:rFonts w:hint="eastAsia" w:ascii="Times" w:hAnsi="仿宋_GB2312" w:eastAsia="仿宋_GB2312" w:cs="仿宋_GB2312"/>
          <w:sz w:val="32"/>
          <w:szCs w:val="32"/>
          <w:highlight w:val="none"/>
        </w:rPr>
        <w:t>按链主企业与上下游企业双方合同订单金额，提供利率为</w:t>
      </w:r>
      <w:r>
        <w:rPr>
          <w:rFonts w:hint="eastAsia" w:ascii="Times" w:hAnsi="Times" w:eastAsia="仿宋_GB2312" w:cs="仿宋_GB2312"/>
          <w:sz w:val="32"/>
          <w:szCs w:val="32"/>
          <w:highlight w:val="none"/>
        </w:rPr>
        <w:t>2%/</w:t>
      </w:r>
      <w:r>
        <w:rPr>
          <w:rFonts w:hint="eastAsia" w:ascii="Times" w:hAnsi="仿宋_GB2312" w:eastAsia="仿宋_GB2312" w:cs="仿宋_GB2312"/>
          <w:sz w:val="32"/>
          <w:szCs w:val="32"/>
          <w:highlight w:val="none"/>
        </w:rPr>
        <w:t>年的融资支持，融资期限最长</w:t>
      </w:r>
      <w:r>
        <w:rPr>
          <w:rFonts w:hint="eastAsia" w:ascii="Times" w:hAnsi="Times" w:eastAsia="仿宋_GB2312" w:cs="仿宋_GB2312"/>
          <w:sz w:val="32"/>
          <w:szCs w:val="32"/>
          <w:highlight w:val="none"/>
        </w:rPr>
        <w:t>3</w:t>
      </w:r>
      <w:r>
        <w:rPr>
          <w:rFonts w:hint="eastAsia" w:ascii="Times" w:hAnsi="仿宋_GB2312" w:eastAsia="仿宋_GB2312" w:cs="仿宋_GB2312"/>
          <w:sz w:val="32"/>
          <w:szCs w:val="32"/>
          <w:highlight w:val="none"/>
        </w:rPr>
        <w:t>年，</w:t>
      </w:r>
      <w:r>
        <w:rPr>
          <w:rFonts w:hint="eastAsia" w:ascii="Times" w:hAnsi="Times" w:eastAsia="仿宋_GB2312" w:cs="楷体"/>
          <w:kern w:val="0"/>
          <w:sz w:val="32"/>
          <w:szCs w:val="32"/>
          <w:highlight w:val="none"/>
        </w:rPr>
        <w:t>单家企业放款</w:t>
      </w:r>
      <w:r>
        <w:rPr>
          <w:rFonts w:hint="eastAsia" w:ascii="Times" w:hAnsi="仿宋_GB2312" w:eastAsia="仿宋_GB2312" w:cs="仿宋_GB2312"/>
          <w:sz w:val="32"/>
          <w:szCs w:val="32"/>
          <w:highlight w:val="none"/>
        </w:rPr>
        <w:t>最高</w:t>
      </w:r>
      <w:r>
        <w:rPr>
          <w:rFonts w:hint="eastAsia" w:ascii="Times" w:hAnsi="Times" w:eastAsia="仿宋_GB2312" w:cs="仿宋_GB2312"/>
          <w:sz w:val="32"/>
          <w:szCs w:val="32"/>
          <w:highlight w:val="none"/>
        </w:rPr>
        <w:t>5000</w:t>
      </w:r>
      <w:r>
        <w:rPr>
          <w:rFonts w:hint="eastAsia" w:ascii="Times" w:hAnsi="仿宋_GB2312" w:eastAsia="仿宋_GB2312" w:cs="仿宋_GB2312"/>
          <w:sz w:val="32"/>
          <w:szCs w:val="32"/>
          <w:highlight w:val="none"/>
        </w:rPr>
        <w:t>万元。</w:t>
      </w:r>
    </w:p>
    <w:p>
      <w:pPr>
        <w:spacing w:line="580" w:lineRule="exact"/>
        <w:ind w:firstLine="640"/>
        <w:rPr>
          <w:rFonts w:ascii="Times" w:hAnsi="Times" w:eastAsia="仿宋_GB2312" w:cs="仿宋_GB2312"/>
          <w:b/>
          <w:bCs/>
          <w:sz w:val="32"/>
          <w:szCs w:val="32"/>
          <w:highlight w:val="none"/>
        </w:rPr>
      </w:pPr>
      <w:r>
        <w:rPr>
          <w:rFonts w:hint="eastAsia" w:ascii="Times" w:hAnsi="Times" w:eastAsia="仿宋_GB2312" w:cs="仿宋_GB2312"/>
          <w:b/>
          <w:sz w:val="32"/>
          <w:szCs w:val="32"/>
          <w:highlight w:val="none"/>
        </w:rPr>
        <w:t>2.</w:t>
      </w:r>
      <w:r>
        <w:rPr>
          <w:rFonts w:hint="eastAsia" w:ascii="Times" w:hAnsi="Times" w:eastAsia="仿宋_GB2312" w:cs="仿宋_GB2312"/>
          <w:b/>
          <w:sz w:val="32"/>
          <w:szCs w:val="32"/>
          <w:highlight w:val="none"/>
          <w:lang w:eastAsia="zh-CN"/>
        </w:rPr>
        <w:t>商贸企业</w:t>
      </w:r>
      <w:r>
        <w:rPr>
          <w:rFonts w:hint="eastAsia" w:ascii="Times" w:hAnsi="仿宋_GB2312" w:eastAsia="仿宋_GB2312" w:cs="仿宋_GB2312"/>
          <w:b/>
          <w:bCs/>
          <w:sz w:val="32"/>
          <w:szCs w:val="32"/>
          <w:highlight w:val="none"/>
        </w:rPr>
        <w:t>供应链子基金</w:t>
      </w:r>
    </w:p>
    <w:p>
      <w:pPr>
        <w:snapToGrid w:val="0"/>
        <w:spacing w:line="560" w:lineRule="exact"/>
        <w:ind w:firstLine="640"/>
        <w:rPr>
          <w:rFonts w:ascii="Times" w:hAnsi="Times" w:eastAsia="仿宋_GB2312" w:cs="仿宋_GB2312"/>
          <w:sz w:val="32"/>
          <w:szCs w:val="32"/>
          <w:highlight w:val="none"/>
        </w:rPr>
      </w:pPr>
      <w:r>
        <w:rPr>
          <w:rFonts w:hint="eastAsia" w:ascii="Times" w:hAnsi="仿宋_GB2312" w:eastAsia="仿宋_GB2312" w:cs="仿宋_GB2312"/>
          <w:b/>
          <w:sz w:val="32"/>
          <w:szCs w:val="32"/>
          <w:highlight w:val="none"/>
        </w:rPr>
        <w:t>（</w:t>
      </w: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）支持对象。</w:t>
      </w:r>
      <w:r>
        <w:rPr>
          <w:rFonts w:hint="eastAsia" w:ascii="Times" w:hAnsi="仿宋_GB2312" w:eastAsia="仿宋_GB2312" w:cs="仿宋_GB2312"/>
          <w:kern w:val="0"/>
          <w:sz w:val="32"/>
          <w:szCs w:val="32"/>
          <w:highlight w:val="none"/>
        </w:rPr>
        <w:t>我市符合条件的商贸业链主企业，所开展的委外加工、供应链金融等业务</w:t>
      </w:r>
      <w:r>
        <w:rPr>
          <w:rFonts w:hint="eastAsia" w:ascii="Times" w:hAnsi="仿宋_GB2312" w:eastAsia="仿宋_GB2312" w:cs="仿宋_GB2312"/>
          <w:sz w:val="32"/>
          <w:szCs w:val="32"/>
          <w:highlight w:val="none"/>
        </w:rPr>
        <w:t>。</w:t>
      </w:r>
    </w:p>
    <w:p>
      <w:pPr>
        <w:snapToGrid w:val="0"/>
        <w:spacing w:line="560" w:lineRule="exact"/>
        <w:ind w:firstLine="640"/>
        <w:rPr>
          <w:rFonts w:ascii="Times" w:hAnsi="Times" w:eastAsia="仿宋_GB2312" w:cs="仿宋_GB2312"/>
          <w:sz w:val="32"/>
          <w:szCs w:val="32"/>
          <w:highlight w:val="none"/>
        </w:rPr>
      </w:pPr>
      <w:r>
        <w:rPr>
          <w:rFonts w:hint="eastAsia" w:ascii="Times" w:hAnsi="Times" w:eastAsia="仿宋_GB2312" w:cs="楷体"/>
          <w:b/>
          <w:kern w:val="0"/>
          <w:sz w:val="32"/>
          <w:szCs w:val="32"/>
          <w:highlight w:val="none"/>
        </w:rPr>
        <w:t>（2）</w:t>
      </w:r>
      <w:r>
        <w:rPr>
          <w:rFonts w:hint="eastAsia" w:ascii="Times" w:hAnsi="仿宋_GB2312" w:eastAsia="仿宋_GB2312" w:cs="仿宋_GB2312"/>
          <w:b/>
          <w:sz w:val="32"/>
          <w:szCs w:val="32"/>
          <w:highlight w:val="none"/>
        </w:rPr>
        <w:t>支持内容。</w:t>
      </w:r>
      <w:r>
        <w:rPr>
          <w:rFonts w:hint="eastAsia" w:ascii="Times" w:hAnsi="仿宋_GB2312" w:eastAsia="仿宋_GB2312" w:cs="仿宋_GB2312"/>
          <w:sz w:val="32"/>
          <w:szCs w:val="32"/>
          <w:highlight w:val="none"/>
        </w:rPr>
        <w:t>按链主企业或其控股企业签订的委外加工合同及配套原材料采购发票金额等有效证明，提供利率为</w:t>
      </w:r>
      <w:r>
        <w:rPr>
          <w:rFonts w:hint="eastAsia" w:ascii="Times" w:hAnsi="Times" w:eastAsia="仿宋_GB2312" w:cs="仿宋_GB2312"/>
          <w:sz w:val="32"/>
          <w:szCs w:val="32"/>
          <w:highlight w:val="none"/>
        </w:rPr>
        <w:t>3%/</w:t>
      </w:r>
      <w:r>
        <w:rPr>
          <w:rFonts w:hint="eastAsia" w:ascii="Times" w:hAnsi="仿宋_GB2312" w:eastAsia="仿宋_GB2312" w:cs="仿宋_GB2312"/>
          <w:sz w:val="32"/>
          <w:szCs w:val="32"/>
          <w:highlight w:val="none"/>
        </w:rPr>
        <w:t>年的融资支持，融资期限最长</w:t>
      </w:r>
      <w:r>
        <w:rPr>
          <w:rFonts w:hint="eastAsia" w:ascii="Times" w:hAnsi="Times" w:eastAsia="仿宋_GB2312" w:cs="仿宋_GB2312"/>
          <w:sz w:val="32"/>
          <w:szCs w:val="32"/>
          <w:highlight w:val="none"/>
        </w:rPr>
        <w:t>1</w:t>
      </w:r>
      <w:r>
        <w:rPr>
          <w:rFonts w:hint="eastAsia" w:ascii="Times" w:hAnsi="仿宋_GB2312" w:eastAsia="仿宋_GB2312" w:cs="仿宋_GB2312"/>
          <w:sz w:val="32"/>
          <w:szCs w:val="32"/>
          <w:highlight w:val="none"/>
        </w:rPr>
        <w:t>年，</w:t>
      </w:r>
      <w:r>
        <w:rPr>
          <w:rFonts w:hint="eastAsia" w:ascii="Times" w:hAnsi="Times" w:eastAsia="仿宋_GB2312" w:cs="楷体"/>
          <w:kern w:val="0"/>
          <w:sz w:val="32"/>
          <w:szCs w:val="32"/>
          <w:highlight w:val="none"/>
        </w:rPr>
        <w:t>单家企业放款</w:t>
      </w:r>
      <w:r>
        <w:rPr>
          <w:rFonts w:hint="eastAsia" w:ascii="Times" w:hAnsi="仿宋_GB2312" w:eastAsia="仿宋_GB2312" w:cs="仿宋_GB2312"/>
          <w:sz w:val="32"/>
          <w:szCs w:val="32"/>
          <w:highlight w:val="none"/>
        </w:rPr>
        <w:t>最高</w:t>
      </w:r>
      <w:r>
        <w:rPr>
          <w:rFonts w:hint="eastAsia" w:ascii="Times" w:hAnsi="Times" w:eastAsia="仿宋_GB2312" w:cs="仿宋_GB2312"/>
          <w:sz w:val="32"/>
          <w:szCs w:val="32"/>
          <w:highlight w:val="none"/>
        </w:rPr>
        <w:t>3</w:t>
      </w:r>
      <w:r>
        <w:rPr>
          <w:rFonts w:hint="eastAsia" w:ascii="Times" w:hAnsi="仿宋_GB2312" w:eastAsia="仿宋_GB2312" w:cs="仿宋_GB2312"/>
          <w:sz w:val="32"/>
          <w:szCs w:val="32"/>
          <w:highlight w:val="none"/>
        </w:rPr>
        <w:t>亿元。</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市财政局、市工信局、市商务局、各区政府（管委会）、相关金融机构</w:t>
      </w:r>
    </w:p>
    <w:p>
      <w:pPr>
        <w:snapToGrid w:val="0"/>
        <w:spacing w:line="560" w:lineRule="exact"/>
        <w:ind w:firstLine="642" w:firstLineChars="20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（五）设立先进制造业基金</w:t>
      </w:r>
    </w:p>
    <w:p>
      <w:pPr>
        <w:pStyle w:val="2"/>
        <w:spacing w:line="560" w:lineRule="exact"/>
        <w:ind w:firstLine="640" w:firstLineChars="200"/>
        <w:rPr>
          <w:rFonts w:ascii="Times" w:hAnsi="Times" w:eastAsia="仿宋_GB2312" w:cs="楷体"/>
          <w:kern w:val="0"/>
          <w:sz w:val="32"/>
          <w:szCs w:val="32"/>
          <w:highlight w:val="none"/>
        </w:rPr>
      </w:pPr>
      <w:r>
        <w:rPr>
          <w:rFonts w:hint="eastAsia" w:ascii="Times" w:hAnsi="Times" w:eastAsia="仿宋_GB2312" w:cs="楷体"/>
          <w:kern w:val="0"/>
          <w:sz w:val="32"/>
          <w:szCs w:val="32"/>
          <w:highlight w:val="none"/>
        </w:rPr>
        <w:t>设立总规模100亿元的厦门先进制造业基金，首期规模50亿元，以股权投资的方式支持先进制造业项目增资扩产。</w:t>
      </w:r>
    </w:p>
    <w:p>
      <w:pPr>
        <w:pStyle w:val="2"/>
        <w:spacing w:line="560" w:lineRule="exact"/>
        <w:ind w:firstLine="642" w:firstLineChars="200"/>
        <w:rPr>
          <w:rFonts w:ascii="Times" w:hAnsi="Times" w:eastAsia="仿宋_GB2312" w:cs="楷体"/>
          <w:kern w:val="0"/>
          <w:sz w:val="32"/>
          <w:szCs w:val="32"/>
          <w:highlight w:val="none"/>
        </w:rPr>
      </w:pPr>
      <w:r>
        <w:rPr>
          <w:rFonts w:hint="eastAsia" w:ascii="Times" w:hAnsi="Times" w:eastAsia="仿宋_GB2312" w:cs="楷体"/>
          <w:b/>
          <w:kern w:val="0"/>
          <w:sz w:val="32"/>
          <w:szCs w:val="32"/>
          <w:highlight w:val="none"/>
        </w:rPr>
        <w:t>1</w:t>
      </w:r>
      <w:r>
        <w:rPr>
          <w:rFonts w:ascii="Times" w:hAnsi="Times" w:eastAsia="仿宋_GB2312" w:cs="楷体"/>
          <w:b/>
          <w:kern w:val="0"/>
          <w:sz w:val="32"/>
          <w:szCs w:val="32"/>
          <w:highlight w:val="none"/>
        </w:rPr>
        <w:t>.</w:t>
      </w:r>
      <w:r>
        <w:rPr>
          <w:rFonts w:hint="eastAsia" w:ascii="Times" w:hAnsi="Times" w:eastAsia="仿宋_GB2312" w:cs="楷体"/>
          <w:b/>
          <w:kern w:val="0"/>
          <w:sz w:val="32"/>
          <w:szCs w:val="32"/>
          <w:highlight w:val="none"/>
        </w:rPr>
        <w:t>支持对象。</w:t>
      </w:r>
      <w:r>
        <w:rPr>
          <w:rFonts w:hint="eastAsia" w:ascii="Times" w:hAnsi="Times" w:eastAsia="仿宋_GB2312" w:cs="楷体"/>
          <w:kern w:val="0"/>
          <w:sz w:val="32"/>
          <w:szCs w:val="32"/>
          <w:highlight w:val="none"/>
        </w:rPr>
        <w:t>主要投向电子信息、高端装备、生物医药与健康、新能源新材料等先进制造业领域项目，聚焦电子信息、高端装备、新能源新材料等重点产业集群。</w:t>
      </w:r>
      <w:r>
        <w:rPr>
          <w:rFonts w:ascii="Times" w:hAnsi="Times" w:eastAsia="仿宋_GB2312" w:cs="楷体"/>
          <w:kern w:val="0"/>
          <w:sz w:val="32"/>
          <w:szCs w:val="32"/>
          <w:highlight w:val="none"/>
        </w:rPr>
        <w:t xml:space="preserve"> </w:t>
      </w:r>
    </w:p>
    <w:p>
      <w:pPr>
        <w:spacing w:line="560" w:lineRule="exact"/>
        <w:ind w:firstLine="642" w:firstLineChars="200"/>
        <w:rPr>
          <w:rFonts w:ascii="Times" w:hAnsi="Times" w:eastAsia="仿宋_GB2312" w:cs="楷体"/>
          <w:kern w:val="0"/>
          <w:sz w:val="32"/>
          <w:szCs w:val="32"/>
          <w:highlight w:val="none"/>
        </w:rPr>
      </w:pPr>
      <w:r>
        <w:rPr>
          <w:rFonts w:hint="eastAsia" w:ascii="Times" w:hAnsi="Times" w:eastAsia="仿宋_GB2312" w:cs="楷体"/>
          <w:b/>
          <w:kern w:val="0"/>
          <w:sz w:val="32"/>
          <w:szCs w:val="32"/>
          <w:highlight w:val="none"/>
        </w:rPr>
        <w:t>2</w:t>
      </w:r>
      <w:r>
        <w:rPr>
          <w:rFonts w:ascii="Times" w:hAnsi="Times" w:eastAsia="仿宋_GB2312" w:cs="楷体"/>
          <w:b/>
          <w:kern w:val="0"/>
          <w:sz w:val="32"/>
          <w:szCs w:val="32"/>
          <w:highlight w:val="none"/>
        </w:rPr>
        <w:t>.</w:t>
      </w:r>
      <w:r>
        <w:rPr>
          <w:rFonts w:hint="eastAsia" w:ascii="Times" w:hAnsi="Times" w:eastAsia="仿宋_GB2312" w:cs="楷体"/>
          <w:b/>
          <w:kern w:val="0"/>
          <w:sz w:val="32"/>
          <w:szCs w:val="32"/>
          <w:highlight w:val="none"/>
        </w:rPr>
        <w:t>支持内容。</w:t>
      </w:r>
      <w:r>
        <w:rPr>
          <w:rFonts w:hint="eastAsia" w:ascii="Times" w:hAnsi="Times" w:eastAsia="仿宋_GB2312" w:cs="楷体"/>
          <w:kern w:val="0"/>
          <w:sz w:val="32"/>
          <w:szCs w:val="32"/>
          <w:highlight w:val="none"/>
        </w:rPr>
        <w:t>采用项目直投</w:t>
      </w:r>
      <w:r>
        <w:rPr>
          <w:rFonts w:hint="eastAsia" w:ascii="Times" w:hAnsi="Times" w:eastAsia="仿宋_GB2312" w:cs="楷体"/>
          <w:kern w:val="0"/>
          <w:sz w:val="32"/>
          <w:szCs w:val="32"/>
          <w:highlight w:val="none"/>
          <w:lang w:eastAsia="zh-CN"/>
        </w:rPr>
        <w:t>、并购投资、参股</w:t>
      </w:r>
      <w:r>
        <w:rPr>
          <w:rFonts w:hint="eastAsia" w:ascii="Times" w:hAnsi="Times" w:eastAsia="仿宋_GB2312" w:cs="楷体"/>
          <w:kern w:val="0"/>
          <w:sz w:val="32"/>
          <w:szCs w:val="32"/>
          <w:highlight w:val="none"/>
        </w:rPr>
        <w:t>市场化子基金</w:t>
      </w:r>
      <w:r>
        <w:rPr>
          <w:rFonts w:hint="eastAsia" w:ascii="Times" w:hAnsi="Times" w:eastAsia="仿宋_GB2312" w:cs="楷体"/>
          <w:kern w:val="0"/>
          <w:sz w:val="32"/>
          <w:szCs w:val="32"/>
          <w:highlight w:val="none"/>
          <w:lang w:eastAsia="zh-CN"/>
        </w:rPr>
        <w:t>和</w:t>
      </w:r>
      <w:r>
        <w:rPr>
          <w:rFonts w:hint="eastAsia" w:ascii="Times" w:hAnsi="Times" w:eastAsia="仿宋_GB2312" w:cs="楷体"/>
          <w:kern w:val="0"/>
          <w:sz w:val="32"/>
          <w:szCs w:val="32"/>
          <w:highlight w:val="none"/>
        </w:rPr>
        <w:t>二手基金份额</w:t>
      </w:r>
      <w:r>
        <w:rPr>
          <w:rFonts w:hint="eastAsia" w:ascii="Times" w:hAnsi="Times" w:eastAsia="仿宋_GB2312" w:cs="楷体"/>
          <w:kern w:val="0"/>
          <w:sz w:val="32"/>
          <w:szCs w:val="32"/>
          <w:highlight w:val="none"/>
          <w:lang w:val="en-US" w:eastAsia="zh-CN"/>
        </w:rPr>
        <w:t>（S基金）</w:t>
      </w:r>
      <w:r>
        <w:rPr>
          <w:rFonts w:hint="eastAsia" w:ascii="Times" w:hAnsi="Times" w:eastAsia="仿宋_GB2312" w:cs="楷体"/>
          <w:kern w:val="0"/>
          <w:sz w:val="32"/>
          <w:szCs w:val="32"/>
          <w:highlight w:val="none"/>
          <w:lang w:eastAsia="zh-CN"/>
        </w:rPr>
        <w:t>的方式</w:t>
      </w:r>
      <w:r>
        <w:rPr>
          <w:rFonts w:hint="eastAsia" w:ascii="Times" w:hAnsi="Times" w:eastAsia="仿宋_GB2312" w:cs="楷体"/>
          <w:kern w:val="0"/>
          <w:sz w:val="32"/>
          <w:szCs w:val="32"/>
          <w:highlight w:val="none"/>
        </w:rPr>
        <w:t>，共同撬动社会资本投资我市相关企业股权。其中，</w:t>
      </w:r>
      <w:r>
        <w:rPr>
          <w:rFonts w:hint="eastAsia" w:ascii="Times" w:hAnsi="Times" w:eastAsia="仿宋_GB2312" w:cs="楷体"/>
          <w:kern w:val="0"/>
          <w:sz w:val="32"/>
          <w:szCs w:val="32"/>
          <w:highlight w:val="none"/>
          <w:lang w:val="en-US" w:eastAsia="zh-CN"/>
        </w:rPr>
        <w:t>40%比例投入我</w:t>
      </w:r>
      <w:r>
        <w:rPr>
          <w:rFonts w:hint="eastAsia" w:ascii="Times" w:hAnsi="Times" w:eastAsia="仿宋_GB2312" w:cs="楷体"/>
          <w:kern w:val="0"/>
          <w:sz w:val="32"/>
          <w:szCs w:val="32"/>
          <w:highlight w:val="none"/>
        </w:rPr>
        <w:t>市先进制造业重大招商项目，</w:t>
      </w:r>
      <w:r>
        <w:rPr>
          <w:rFonts w:hint="eastAsia" w:ascii="Times" w:hAnsi="Times" w:eastAsia="仿宋_GB2312" w:cs="楷体"/>
          <w:kern w:val="0"/>
          <w:sz w:val="32"/>
          <w:szCs w:val="32"/>
          <w:highlight w:val="none"/>
          <w:lang w:val="en-US" w:eastAsia="zh-CN"/>
        </w:rPr>
        <w:t>30%比例投入符合我市先进制造业产业方向的市场化子基金，30%比例投入符合我市先进制造业产业方向的</w:t>
      </w:r>
      <w:r>
        <w:rPr>
          <w:rFonts w:hint="eastAsia" w:ascii="Times" w:hAnsi="Times" w:eastAsia="仿宋_GB2312" w:cs="楷体"/>
          <w:kern w:val="0"/>
          <w:sz w:val="32"/>
          <w:szCs w:val="32"/>
          <w:highlight w:val="none"/>
        </w:rPr>
        <w:t>二手基金份额</w:t>
      </w:r>
      <w:r>
        <w:rPr>
          <w:rFonts w:hint="eastAsia" w:ascii="Times" w:hAnsi="Times" w:eastAsia="仿宋_GB2312" w:cs="楷体"/>
          <w:kern w:val="0"/>
          <w:sz w:val="32"/>
          <w:szCs w:val="32"/>
          <w:highlight w:val="none"/>
          <w:lang w:val="en-US" w:eastAsia="zh-CN"/>
        </w:rPr>
        <w:t>及并购投资</w:t>
      </w:r>
      <w:r>
        <w:rPr>
          <w:rFonts w:hint="eastAsia" w:ascii="Times" w:hAnsi="Times" w:eastAsia="仿宋_GB2312" w:cs="楷体"/>
          <w:kern w:val="0"/>
          <w:sz w:val="32"/>
          <w:szCs w:val="32"/>
          <w:highlight w:val="none"/>
        </w:rPr>
        <w:t>。</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市财政局、市工信局</w:t>
      </w:r>
      <w:r>
        <w:rPr>
          <w:rFonts w:hint="eastAsia" w:ascii="Times" w:hAnsi="仿宋_GB2312" w:eastAsia="仿宋_GB2312" w:cs="仿宋_GB2312"/>
          <w:kern w:val="0"/>
          <w:sz w:val="32"/>
          <w:szCs w:val="32"/>
          <w:highlight w:val="none"/>
          <w:lang w:eastAsia="zh-CN"/>
        </w:rPr>
        <w:t>、</w:t>
      </w:r>
      <w:r>
        <w:rPr>
          <w:rFonts w:hint="eastAsia" w:ascii="Times" w:hAnsi="仿宋_GB2312" w:eastAsia="仿宋_GB2312" w:cs="仿宋_GB2312"/>
          <w:kern w:val="0"/>
          <w:sz w:val="32"/>
          <w:szCs w:val="32"/>
          <w:highlight w:val="none"/>
        </w:rPr>
        <w:t>市发改委、各区政府（管委会）、相关国有企业、相关金融机构</w:t>
      </w:r>
    </w:p>
    <w:p>
      <w:pPr>
        <w:snapToGrid w:val="0"/>
        <w:spacing w:line="560" w:lineRule="exact"/>
        <w:ind w:firstLine="640"/>
        <w:rPr>
          <w:rFonts w:ascii="Times" w:hAnsi="Times" w:eastAsia="楷体_GB2312" w:cs="楷体_GB2312"/>
          <w:b/>
          <w:bCs/>
          <w:sz w:val="32"/>
          <w:szCs w:val="32"/>
          <w:highlight w:val="none"/>
        </w:rPr>
      </w:pPr>
      <w:r>
        <w:rPr>
          <w:rFonts w:hint="eastAsia" w:ascii="Times" w:hAnsi="楷体_GB2312" w:eastAsia="楷体_GB2312" w:cs="楷体_GB2312"/>
          <w:b/>
          <w:bCs/>
          <w:sz w:val="32"/>
          <w:szCs w:val="32"/>
          <w:highlight w:val="none"/>
        </w:rPr>
        <w:t>（六）设立产业链</w:t>
      </w:r>
      <w:r>
        <w:rPr>
          <w:rFonts w:hint="eastAsia" w:ascii="Times" w:hAnsi="楷体_GB2312" w:eastAsia="楷体_GB2312" w:cs="楷体_GB2312"/>
          <w:b/>
          <w:bCs/>
          <w:sz w:val="32"/>
          <w:szCs w:val="32"/>
          <w:highlight w:val="none"/>
          <w:lang w:eastAsia="zh-CN"/>
        </w:rPr>
        <w:t>招商</w:t>
      </w:r>
      <w:r>
        <w:rPr>
          <w:rFonts w:hint="eastAsia" w:ascii="Times" w:hAnsi="楷体_GB2312" w:eastAsia="楷体_GB2312" w:cs="楷体_GB2312"/>
          <w:b/>
          <w:bCs/>
          <w:sz w:val="32"/>
          <w:szCs w:val="32"/>
          <w:highlight w:val="none"/>
        </w:rPr>
        <w:t>基金</w:t>
      </w:r>
    </w:p>
    <w:p>
      <w:pPr>
        <w:pStyle w:val="11"/>
        <w:spacing w:before="0" w:beforeAutospacing="0" w:after="0" w:afterAutospacing="0" w:line="560" w:lineRule="exact"/>
        <w:ind w:firstLine="640" w:firstLineChars="200"/>
        <w:jc w:val="both"/>
        <w:rPr>
          <w:rFonts w:ascii="Times" w:hAnsi="Times" w:eastAsia="仿宋_GB2312" w:cs="仿宋_GB2312"/>
          <w:sz w:val="32"/>
          <w:szCs w:val="32"/>
          <w:highlight w:val="none"/>
        </w:rPr>
      </w:pPr>
      <w:r>
        <w:rPr>
          <w:rFonts w:hint="eastAsia" w:ascii="Times" w:hAnsi="Times" w:eastAsia="仿宋_GB2312" w:cs="Times New Roman"/>
          <w:bCs/>
          <w:kern w:val="2"/>
          <w:sz w:val="32"/>
          <w:szCs w:val="32"/>
          <w:highlight w:val="none"/>
        </w:rPr>
        <w:t>设立规模50亿元的产业链</w:t>
      </w:r>
      <w:r>
        <w:rPr>
          <w:rFonts w:hint="eastAsia" w:ascii="Times" w:hAnsi="Times" w:eastAsia="仿宋_GB2312" w:cs="Times New Roman"/>
          <w:bCs/>
          <w:kern w:val="2"/>
          <w:sz w:val="32"/>
          <w:szCs w:val="32"/>
          <w:highlight w:val="none"/>
          <w:lang w:eastAsia="zh-CN"/>
        </w:rPr>
        <w:t>招商</w:t>
      </w:r>
      <w:r>
        <w:rPr>
          <w:rFonts w:hint="eastAsia" w:ascii="Times" w:hAnsi="Times" w:eastAsia="仿宋_GB2312" w:cs="Times New Roman"/>
          <w:bCs/>
          <w:kern w:val="2"/>
          <w:sz w:val="32"/>
          <w:szCs w:val="32"/>
          <w:highlight w:val="none"/>
        </w:rPr>
        <w:t>基金</w:t>
      </w:r>
      <w:r>
        <w:rPr>
          <w:rFonts w:hint="eastAsia" w:ascii="Times" w:hAnsi="Times" w:eastAsia="仿宋_GB2312" w:cstheme="minorBidi"/>
          <w:bCs/>
          <w:kern w:val="2"/>
          <w:sz w:val="32"/>
          <w:szCs w:val="32"/>
          <w:highlight w:val="none"/>
        </w:rPr>
        <w:t>，</w:t>
      </w:r>
      <w:r>
        <w:rPr>
          <w:rFonts w:hint="eastAsia" w:ascii="Times" w:hAnsi="Times" w:eastAsia="仿宋_GB2312" w:cs="Times New Roman"/>
          <w:bCs/>
          <w:kern w:val="2"/>
          <w:sz w:val="32"/>
          <w:szCs w:val="32"/>
          <w:highlight w:val="none"/>
        </w:rPr>
        <w:t>运用“</w:t>
      </w:r>
      <w:r>
        <w:rPr>
          <w:rFonts w:ascii="Times" w:hAnsi="Times" w:eastAsia="仿宋_GB2312" w:cs="Times New Roman"/>
          <w:bCs/>
          <w:kern w:val="2"/>
          <w:sz w:val="32"/>
          <w:szCs w:val="32"/>
          <w:highlight w:val="none"/>
        </w:rPr>
        <w:t>以投带招</w:t>
      </w:r>
      <w:r>
        <w:rPr>
          <w:rFonts w:hint="eastAsia" w:ascii="Times" w:hAnsi="Times" w:eastAsia="仿宋_GB2312" w:cs="Times New Roman"/>
          <w:bCs/>
          <w:kern w:val="2"/>
          <w:sz w:val="32"/>
          <w:szCs w:val="32"/>
          <w:highlight w:val="none"/>
        </w:rPr>
        <w:t>”</w:t>
      </w:r>
      <w:r>
        <w:rPr>
          <w:rFonts w:ascii="Times" w:hAnsi="Times" w:eastAsia="仿宋_GB2312" w:cs="Times New Roman"/>
          <w:bCs/>
          <w:kern w:val="2"/>
          <w:sz w:val="32"/>
          <w:szCs w:val="32"/>
          <w:highlight w:val="none"/>
        </w:rPr>
        <w:t>模式，</w:t>
      </w:r>
      <w:r>
        <w:rPr>
          <w:rFonts w:hint="eastAsia" w:ascii="Times" w:hAnsi="Times" w:eastAsia="仿宋_GB2312" w:cs="Times New Roman"/>
          <w:bCs/>
          <w:kern w:val="2"/>
          <w:sz w:val="32"/>
          <w:szCs w:val="32"/>
          <w:highlight w:val="none"/>
        </w:rPr>
        <w:t>引进培育高成长性项目</w:t>
      </w:r>
      <w:r>
        <w:rPr>
          <w:rFonts w:hint="eastAsia" w:ascii="Times" w:hAnsi="Times" w:eastAsia="仿宋_GB2312" w:cstheme="minorBidi"/>
          <w:bCs/>
          <w:kern w:val="2"/>
          <w:sz w:val="32"/>
          <w:szCs w:val="32"/>
          <w:highlight w:val="none"/>
        </w:rPr>
        <w:t>，扩大产业有效投资。</w:t>
      </w:r>
    </w:p>
    <w:p>
      <w:pPr>
        <w:snapToGrid w:val="0"/>
        <w:spacing w:line="560" w:lineRule="exact"/>
        <w:ind w:firstLine="640"/>
        <w:rPr>
          <w:rFonts w:ascii="Times" w:hAnsi="Times"/>
          <w:highlight w:val="none"/>
        </w:rPr>
      </w:pPr>
      <w:r>
        <w:rPr>
          <w:rFonts w:hint="eastAsia" w:ascii="Times" w:hAnsi="Times" w:eastAsia="仿宋_GB2312" w:cs="仿宋_GB2312"/>
          <w:b/>
          <w:sz w:val="32"/>
          <w:szCs w:val="32"/>
          <w:highlight w:val="none"/>
        </w:rPr>
        <w:t>1.</w:t>
      </w:r>
      <w:r>
        <w:rPr>
          <w:rFonts w:hint="eastAsia" w:ascii="Times" w:hAnsi="仿宋_GB2312" w:eastAsia="仿宋_GB2312" w:cs="仿宋_GB2312"/>
          <w:b/>
          <w:sz w:val="32"/>
          <w:szCs w:val="32"/>
          <w:highlight w:val="none"/>
        </w:rPr>
        <w:t>支持对象。</w:t>
      </w:r>
      <w:r>
        <w:rPr>
          <w:rFonts w:hint="eastAsia" w:ascii="Times" w:hAnsi="Times" w:eastAsia="仿宋_GB2312" w:cs="Times New Roman"/>
          <w:bCs/>
          <w:sz w:val="32"/>
          <w:szCs w:val="32"/>
          <w:highlight w:val="none"/>
        </w:rPr>
        <w:t>聚焦“</w:t>
      </w:r>
      <w:r>
        <w:rPr>
          <w:rFonts w:ascii="Times" w:hAnsi="Times" w:eastAsia="仿宋_GB2312" w:cs="Times New Roman"/>
          <w:bCs/>
          <w:sz w:val="32"/>
          <w:szCs w:val="32"/>
          <w:highlight w:val="none"/>
        </w:rPr>
        <w:t>4+4+6</w:t>
      </w:r>
      <w:r>
        <w:rPr>
          <w:rFonts w:hint="eastAsia" w:ascii="Times" w:hAnsi="Times" w:eastAsia="仿宋_GB2312" w:cs="Times New Roman"/>
          <w:bCs/>
          <w:sz w:val="32"/>
          <w:szCs w:val="32"/>
          <w:highlight w:val="none"/>
        </w:rPr>
        <w:t>”</w:t>
      </w:r>
      <w:r>
        <w:rPr>
          <w:rFonts w:ascii="Times" w:hAnsi="Times" w:eastAsia="仿宋_GB2312" w:cs="Times New Roman"/>
          <w:bCs/>
          <w:sz w:val="32"/>
          <w:szCs w:val="32"/>
          <w:highlight w:val="none"/>
        </w:rPr>
        <w:t>现代</w:t>
      </w:r>
      <w:r>
        <w:rPr>
          <w:rFonts w:hint="eastAsia" w:ascii="Times" w:hAnsi="Times" w:eastAsia="仿宋_GB2312" w:cs="Times New Roman"/>
          <w:bCs/>
          <w:sz w:val="32"/>
          <w:szCs w:val="32"/>
          <w:highlight w:val="none"/>
        </w:rPr>
        <w:t>化</w:t>
      </w:r>
      <w:r>
        <w:rPr>
          <w:rFonts w:ascii="Times" w:hAnsi="Times" w:eastAsia="仿宋_GB2312" w:cs="Times New Roman"/>
          <w:bCs/>
          <w:sz w:val="32"/>
          <w:szCs w:val="32"/>
          <w:highlight w:val="none"/>
        </w:rPr>
        <w:t>产业体系</w:t>
      </w:r>
      <w:r>
        <w:rPr>
          <w:rFonts w:hint="eastAsia" w:ascii="Times" w:hAnsi="Times" w:eastAsia="仿宋_GB2312" w:cs="Times New Roman"/>
          <w:bCs/>
          <w:sz w:val="32"/>
          <w:szCs w:val="32"/>
          <w:highlight w:val="none"/>
        </w:rPr>
        <w:t>，</w:t>
      </w:r>
      <w:r>
        <w:rPr>
          <w:rFonts w:hint="eastAsia" w:ascii="Times" w:hAnsi="Times" w:eastAsia="仿宋_GB2312" w:cs="Times New Roman"/>
          <w:bCs/>
          <w:sz w:val="32"/>
          <w:szCs w:val="32"/>
          <w:highlight w:val="none"/>
          <w:lang w:eastAsia="zh-CN"/>
        </w:rPr>
        <w:t>以项目落地为前提</w:t>
      </w:r>
      <w:r>
        <w:rPr>
          <w:rFonts w:hint="eastAsia" w:ascii="Times" w:hAnsi="Times" w:eastAsia="仿宋_GB2312" w:cs="Times New Roman"/>
          <w:bCs/>
          <w:sz w:val="32"/>
          <w:szCs w:val="32"/>
          <w:highlight w:val="none"/>
        </w:rPr>
        <w:t>，投向</w:t>
      </w:r>
      <w:r>
        <w:rPr>
          <w:rFonts w:hint="eastAsia" w:ascii="Times" w:hAnsi="Times" w:eastAsia="仿宋_GB2312" w:cs="Times New Roman"/>
          <w:b w:val="0"/>
          <w:bCs/>
          <w:sz w:val="32"/>
          <w:szCs w:val="32"/>
          <w:highlight w:val="none"/>
        </w:rPr>
        <w:t>域外</w:t>
      </w:r>
      <w:r>
        <w:rPr>
          <w:rFonts w:hint="eastAsia" w:ascii="Times" w:hAnsi="Times" w:eastAsia="仿宋_GB2312" w:cs="Times New Roman"/>
          <w:bCs/>
          <w:sz w:val="32"/>
          <w:szCs w:val="32"/>
          <w:highlight w:val="none"/>
        </w:rPr>
        <w:t>引进</w:t>
      </w:r>
      <w:r>
        <w:rPr>
          <w:rFonts w:hint="eastAsia" w:ascii="Times" w:hAnsi="Times" w:eastAsia="仿宋_GB2312" w:cs="Times New Roman"/>
          <w:b w:val="0"/>
          <w:bCs/>
          <w:sz w:val="32"/>
          <w:szCs w:val="32"/>
          <w:highlight w:val="none"/>
        </w:rPr>
        <w:t>的</w:t>
      </w:r>
      <w:r>
        <w:rPr>
          <w:rFonts w:ascii="Times" w:hAnsi="Times" w:eastAsia="仿宋_GB2312" w:cs="Times New Roman"/>
          <w:bCs/>
          <w:sz w:val="32"/>
          <w:szCs w:val="32"/>
          <w:highlight w:val="none"/>
        </w:rPr>
        <w:t>高经济贡献度、高成长性、高附加值项目</w:t>
      </w:r>
      <w:r>
        <w:rPr>
          <w:rFonts w:hint="eastAsia" w:ascii="Times" w:hAnsi="Times" w:eastAsia="仿宋_GB2312" w:cs="Times New Roman"/>
          <w:bCs/>
          <w:sz w:val="32"/>
          <w:szCs w:val="32"/>
          <w:highlight w:val="none"/>
        </w:rPr>
        <w:t>，或者本地国家级“专精特新”小巨人企业以及高技术企业。</w:t>
      </w:r>
    </w:p>
    <w:p>
      <w:pPr>
        <w:snapToGrid w:val="0"/>
        <w:spacing w:line="560" w:lineRule="exact"/>
        <w:ind w:firstLine="640"/>
        <w:rPr>
          <w:rFonts w:ascii="Times" w:hAnsi="Times" w:eastAsia="仿宋_GB2312"/>
          <w:bCs/>
          <w:sz w:val="32"/>
          <w:szCs w:val="32"/>
          <w:highlight w:val="none"/>
        </w:rPr>
      </w:pPr>
      <w:r>
        <w:rPr>
          <w:rFonts w:hint="eastAsia" w:ascii="Times" w:hAnsi="Times" w:eastAsia="仿宋_GB2312" w:cs="仿宋_GB2312"/>
          <w:b/>
          <w:sz w:val="32"/>
          <w:szCs w:val="32"/>
          <w:highlight w:val="none"/>
        </w:rPr>
        <w:t>2.</w:t>
      </w:r>
      <w:r>
        <w:rPr>
          <w:rFonts w:hint="eastAsia" w:ascii="Times" w:hAnsi="仿宋_GB2312" w:eastAsia="仿宋_GB2312" w:cs="仿宋_GB2312"/>
          <w:b/>
          <w:sz w:val="32"/>
          <w:szCs w:val="32"/>
          <w:highlight w:val="none"/>
        </w:rPr>
        <w:t>支持内容。</w:t>
      </w:r>
      <w:r>
        <w:rPr>
          <w:rFonts w:hint="eastAsia" w:ascii="Times" w:hAnsi="Times" w:eastAsia="仿宋_GB2312" w:cs="Times New Roman"/>
          <w:b w:val="0"/>
          <w:bCs/>
          <w:sz w:val="32"/>
          <w:szCs w:val="32"/>
          <w:highlight w:val="none"/>
        </w:rPr>
        <w:t>坚持</w:t>
      </w:r>
      <w:r>
        <w:rPr>
          <w:rFonts w:hint="eastAsia" w:ascii="Times" w:hAnsi="Times" w:eastAsia="仿宋_GB2312" w:cs="Times New Roman"/>
          <w:bCs/>
          <w:sz w:val="32"/>
          <w:szCs w:val="32"/>
          <w:highlight w:val="none"/>
        </w:rPr>
        <w:t>政府主导与市场化投资相结合，依托头部基金的已投项目库和专业投资优势，</w:t>
      </w:r>
      <w:r>
        <w:rPr>
          <w:rFonts w:hint="eastAsia" w:ascii="Times" w:hAnsi="Times" w:eastAsia="仿宋_GB2312" w:cs="Times New Roman"/>
          <w:bCs/>
          <w:sz w:val="32"/>
          <w:szCs w:val="32"/>
          <w:highlight w:val="none"/>
          <w:lang w:eastAsia="zh-CN"/>
        </w:rPr>
        <w:t>跟投</w:t>
      </w:r>
      <w:r>
        <w:rPr>
          <w:rFonts w:hint="eastAsia" w:ascii="Times" w:hAnsi="Times" w:eastAsia="仿宋_GB2312" w:cs="Times New Roman"/>
          <w:bCs/>
          <w:sz w:val="32"/>
          <w:szCs w:val="32"/>
          <w:highlight w:val="none"/>
        </w:rPr>
        <w:t>引进重点产业链群上下游项目、支持本地</w:t>
      </w:r>
      <w:r>
        <w:rPr>
          <w:rFonts w:hint="eastAsia" w:ascii="Times" w:hAnsi="Times" w:eastAsia="仿宋_GB2312"/>
          <w:bCs/>
          <w:sz w:val="32"/>
          <w:szCs w:val="32"/>
          <w:highlight w:val="none"/>
        </w:rPr>
        <w:t>优质</w:t>
      </w:r>
      <w:r>
        <w:rPr>
          <w:rFonts w:hint="eastAsia" w:ascii="Times" w:hAnsi="Times" w:eastAsia="仿宋_GB2312" w:cs="Times New Roman"/>
          <w:bCs/>
          <w:sz w:val="32"/>
          <w:szCs w:val="32"/>
          <w:highlight w:val="none"/>
        </w:rPr>
        <w:t>企业发展壮大，实现强链补链延链。</w:t>
      </w:r>
      <w:r>
        <w:rPr>
          <w:rFonts w:hint="eastAsia" w:ascii="Times" w:hAnsi="Times" w:eastAsia="仿宋_GB2312" w:cs="Times New Roman"/>
          <w:bCs/>
          <w:sz w:val="32"/>
          <w:szCs w:val="32"/>
          <w:highlight w:val="none"/>
          <w:lang w:eastAsia="zh-CN"/>
        </w:rPr>
        <w:t>投后招商基金在项目中的股比原则上不超过</w:t>
      </w:r>
      <w:r>
        <w:rPr>
          <w:rFonts w:hint="eastAsia" w:ascii="Times" w:hAnsi="Times" w:eastAsia="仿宋_GB2312" w:cs="Times New Roman"/>
          <w:bCs/>
          <w:sz w:val="32"/>
          <w:szCs w:val="32"/>
          <w:highlight w:val="none"/>
          <w:lang w:val="en-US" w:eastAsia="zh-CN"/>
        </w:rPr>
        <w:t>30%。</w:t>
      </w:r>
      <w:r>
        <w:rPr>
          <w:rFonts w:hint="eastAsia" w:ascii="Times" w:hAnsi="Times" w:eastAsia="仿宋_GB2312" w:cs="Times New Roman"/>
          <w:bCs/>
          <w:sz w:val="32"/>
          <w:szCs w:val="32"/>
          <w:highlight w:val="none"/>
        </w:rPr>
        <w:t>强化正向激励，</w:t>
      </w:r>
      <w:r>
        <w:rPr>
          <w:rFonts w:hint="eastAsia" w:ascii="Times" w:hAnsi="Times" w:eastAsia="仿宋_GB2312" w:cs="Times New Roman"/>
          <w:bCs/>
          <w:sz w:val="32"/>
          <w:szCs w:val="32"/>
          <w:highlight w:val="none"/>
          <w:lang w:val="en-US" w:eastAsia="zh-CN"/>
        </w:rPr>
        <w:t>基金引入项目的地方经济贡献额超过政府出资额一定倍数时，基金普通合伙人（GP）可获得超额收益让渡等奖励</w:t>
      </w:r>
      <w:r>
        <w:rPr>
          <w:rFonts w:hint="eastAsia" w:ascii="Times" w:hAnsi="Times" w:eastAsia="仿宋_GB2312"/>
          <w:bCs/>
          <w:sz w:val="32"/>
          <w:szCs w:val="32"/>
          <w:highlight w:val="none"/>
        </w:rPr>
        <w:t>，</w:t>
      </w:r>
      <w:r>
        <w:rPr>
          <w:rFonts w:hint="eastAsia" w:ascii="Times" w:hAnsi="Times" w:eastAsia="仿宋_GB2312" w:cs="Times New Roman"/>
          <w:bCs/>
          <w:sz w:val="32"/>
          <w:szCs w:val="32"/>
          <w:highlight w:val="none"/>
        </w:rPr>
        <w:t>引导增加优质项目供给、加速落地转化</w:t>
      </w:r>
      <w:r>
        <w:rPr>
          <w:rFonts w:hint="eastAsia" w:ascii="Times" w:hAnsi="Times" w:eastAsia="仿宋_GB2312"/>
          <w:bCs/>
          <w:sz w:val="32"/>
          <w:szCs w:val="32"/>
          <w:highlight w:val="none"/>
        </w:rPr>
        <w:t>。</w:t>
      </w:r>
    </w:p>
    <w:p>
      <w:pPr>
        <w:snapToGrid w:val="0"/>
        <w:spacing w:line="560" w:lineRule="exact"/>
        <w:ind w:firstLine="640"/>
        <w:rPr>
          <w:rFonts w:ascii="Times" w:hAnsi="Times" w:eastAsia="仿宋_GB2312" w:cs="仿宋_GB2312"/>
          <w:kern w:val="0"/>
          <w:sz w:val="32"/>
          <w:szCs w:val="32"/>
          <w:highlight w:val="none"/>
        </w:rPr>
      </w:pPr>
      <w:r>
        <w:rPr>
          <w:rFonts w:hint="eastAsia" w:ascii="Times" w:hAnsi="仿宋_GB2312" w:eastAsia="仿宋_GB2312" w:cs="仿宋_GB2312"/>
          <w:b/>
          <w:kern w:val="0"/>
          <w:sz w:val="32"/>
          <w:szCs w:val="32"/>
          <w:highlight w:val="none"/>
        </w:rPr>
        <w:t>责任单位：</w:t>
      </w:r>
      <w:r>
        <w:rPr>
          <w:rFonts w:hint="eastAsia" w:ascii="Times" w:hAnsi="仿宋_GB2312" w:eastAsia="仿宋_GB2312" w:cs="仿宋_GB2312"/>
          <w:kern w:val="0"/>
          <w:sz w:val="32"/>
          <w:szCs w:val="32"/>
          <w:highlight w:val="none"/>
        </w:rPr>
        <w:t>市财政局、市金融局、各区政府（管委会）、相关金融机构</w:t>
      </w:r>
    </w:p>
    <w:p>
      <w:pPr>
        <w:spacing w:line="580" w:lineRule="exact"/>
        <w:ind w:firstLine="640"/>
        <w:rPr>
          <w:rFonts w:ascii="Times" w:hAnsi="Times" w:eastAsia="仿宋" w:cs="仿宋"/>
          <w:sz w:val="32"/>
          <w:szCs w:val="32"/>
          <w:highlight w:val="none"/>
        </w:rPr>
      </w:pPr>
      <w:r>
        <w:rPr>
          <w:rFonts w:hint="eastAsia" w:ascii="Times" w:hAnsi="黑体" w:eastAsia="黑体" w:cs="黑体"/>
          <w:sz w:val="32"/>
          <w:szCs w:val="32"/>
          <w:highlight w:val="none"/>
        </w:rPr>
        <w:t>三、保障措施</w:t>
      </w:r>
    </w:p>
    <w:p>
      <w:pPr>
        <w:spacing w:line="580" w:lineRule="exact"/>
        <w:ind w:firstLine="640"/>
        <w:rPr>
          <w:rFonts w:ascii="Times" w:hAnsi="Times" w:eastAsia="仿宋_GB2312" w:cs="仿宋_GB2312"/>
          <w:sz w:val="32"/>
          <w:szCs w:val="32"/>
          <w:highlight w:val="none"/>
        </w:rPr>
      </w:pPr>
      <w:r>
        <w:rPr>
          <w:rFonts w:hint="eastAsia" w:ascii="Times" w:hAnsi="楷体_GB2312" w:eastAsia="楷体_GB2312" w:cs="楷体_GB2312"/>
          <w:b/>
          <w:bCs/>
          <w:sz w:val="32"/>
          <w:szCs w:val="32"/>
          <w:highlight w:val="none"/>
        </w:rPr>
        <w:t>（一）强化统筹机制。</w:t>
      </w:r>
      <w:r>
        <w:rPr>
          <w:rFonts w:hint="eastAsia" w:ascii="Times" w:hAnsi="仿宋_GB2312" w:eastAsia="仿宋_GB2312" w:cs="仿宋_GB2312"/>
          <w:sz w:val="32"/>
          <w:szCs w:val="32"/>
          <w:highlight w:val="none"/>
        </w:rPr>
        <w:t>各责任部门要加强负责事项的统筹安排，建立定期会商机制，开展项目分类指导、精准服务和快速响应，做好政策宣传、解释和答疑解惑，切实形成工作合力。财政部门要牵头加强跨部门跨领域政策统筹协调，推进同类政策归并整合，建立健全统筹有力、协同高效的增资扩产政策支持体系</w:t>
      </w:r>
      <w:r>
        <w:rPr>
          <w:rFonts w:hint="eastAsia" w:ascii="Times" w:hAnsi="Times" w:eastAsia="仿宋_GB2312"/>
          <w:sz w:val="32"/>
          <w:szCs w:val="32"/>
          <w:highlight w:val="none"/>
        </w:rPr>
        <w:t>。</w:t>
      </w:r>
    </w:p>
    <w:p>
      <w:pPr>
        <w:pStyle w:val="11"/>
        <w:spacing w:before="0" w:beforeAutospacing="0" w:after="0" w:afterAutospacing="0" w:line="560" w:lineRule="exact"/>
        <w:ind w:firstLine="642" w:firstLineChars="200"/>
        <w:jc w:val="both"/>
        <w:rPr>
          <w:rFonts w:ascii="Times" w:hAnsi="Times" w:eastAsia="仿宋_GB2312" w:cs="仿宋_GB2312"/>
          <w:sz w:val="32"/>
          <w:szCs w:val="32"/>
          <w:highlight w:val="none"/>
        </w:rPr>
      </w:pPr>
      <w:r>
        <w:rPr>
          <w:rFonts w:hint="eastAsia" w:ascii="Times" w:hAnsi="楷体_GB2312" w:eastAsia="楷体_GB2312" w:cs="楷体_GB2312"/>
          <w:b/>
          <w:bCs/>
          <w:sz w:val="32"/>
          <w:szCs w:val="32"/>
          <w:highlight w:val="none"/>
        </w:rPr>
        <w:t>（二）做好要素支撑。</w:t>
      </w:r>
      <w:r>
        <w:rPr>
          <w:rFonts w:hint="eastAsia" w:ascii="Times" w:hAnsi="仿宋_GB2312" w:eastAsia="仿宋_GB2312" w:cs="仿宋_GB2312"/>
          <w:kern w:val="2"/>
          <w:sz w:val="32"/>
          <w:szCs w:val="32"/>
          <w:highlight w:val="none"/>
        </w:rPr>
        <w:t>坚持</w:t>
      </w:r>
      <w:r>
        <w:rPr>
          <w:rFonts w:hint="eastAsia" w:ascii="Times" w:hAnsi="Times" w:eastAsia="仿宋_GB2312" w:cs="仿宋_GB2312"/>
          <w:kern w:val="2"/>
          <w:sz w:val="32"/>
          <w:szCs w:val="32"/>
          <w:highlight w:val="none"/>
        </w:rPr>
        <w:t>“</w:t>
      </w:r>
      <w:r>
        <w:rPr>
          <w:rFonts w:hint="eastAsia" w:ascii="Times" w:hAnsi="仿宋_GB2312" w:eastAsia="仿宋_GB2312" w:cs="仿宋_GB2312"/>
          <w:kern w:val="2"/>
          <w:sz w:val="32"/>
          <w:szCs w:val="32"/>
          <w:highlight w:val="none"/>
        </w:rPr>
        <w:t>要素跟着项目走</w:t>
      </w:r>
      <w:r>
        <w:rPr>
          <w:rFonts w:hint="eastAsia" w:ascii="Times" w:hAnsi="Times" w:eastAsia="仿宋_GB2312" w:cs="仿宋_GB2312"/>
          <w:kern w:val="2"/>
          <w:sz w:val="32"/>
          <w:szCs w:val="32"/>
          <w:highlight w:val="none"/>
        </w:rPr>
        <w:t>”</w:t>
      </w:r>
      <w:r>
        <w:rPr>
          <w:rFonts w:hint="eastAsia" w:ascii="Times" w:hAnsi="仿宋_GB2312" w:eastAsia="仿宋_GB2312" w:cs="仿宋_GB2312"/>
          <w:kern w:val="2"/>
          <w:sz w:val="32"/>
          <w:szCs w:val="32"/>
          <w:highlight w:val="none"/>
        </w:rPr>
        <w:t>，</w:t>
      </w:r>
      <w:r>
        <w:rPr>
          <w:rFonts w:hint="eastAsia" w:ascii="Times" w:hAnsi="仿宋_GB2312" w:eastAsia="仿宋_GB2312" w:cs="仿宋_GB2312"/>
          <w:kern w:val="2"/>
          <w:sz w:val="32"/>
          <w:szCs w:val="32"/>
          <w:highlight w:val="none"/>
          <w:lang w:eastAsia="zh-CN"/>
        </w:rPr>
        <w:t>进一步加大</w:t>
      </w:r>
      <w:r>
        <w:rPr>
          <w:rFonts w:hint="eastAsia" w:ascii="Times" w:hAnsi="仿宋_GB2312" w:eastAsia="仿宋_GB2312" w:cs="仿宋_GB2312"/>
          <w:kern w:val="2"/>
          <w:sz w:val="32"/>
          <w:szCs w:val="32"/>
          <w:highlight w:val="none"/>
        </w:rPr>
        <w:t>对企业增资扩产、技术改造项目优先给予资金、土地、用能、用水、环境容量和能耗指标</w:t>
      </w:r>
      <w:r>
        <w:rPr>
          <w:rFonts w:hint="eastAsia" w:ascii="Times" w:hAnsi="仿宋_GB2312" w:eastAsia="仿宋_GB2312" w:cs="仿宋_GB2312"/>
          <w:sz w:val="32"/>
          <w:szCs w:val="32"/>
          <w:highlight w:val="none"/>
        </w:rPr>
        <w:t>等</w:t>
      </w:r>
      <w:r>
        <w:rPr>
          <w:rFonts w:hint="eastAsia" w:ascii="Times" w:hAnsi="仿宋_GB2312" w:eastAsia="仿宋_GB2312" w:cs="仿宋_GB2312"/>
          <w:sz w:val="32"/>
          <w:szCs w:val="32"/>
          <w:highlight w:val="none"/>
          <w:lang w:eastAsia="zh-CN"/>
        </w:rPr>
        <w:t>方面的</w:t>
      </w:r>
      <w:r>
        <w:rPr>
          <w:rFonts w:hint="eastAsia" w:ascii="Times" w:hAnsi="仿宋_GB2312" w:eastAsia="仿宋_GB2312" w:cs="仿宋_GB2312"/>
          <w:sz w:val="32"/>
          <w:szCs w:val="32"/>
          <w:highlight w:val="none"/>
        </w:rPr>
        <w:t>保障</w:t>
      </w:r>
      <w:r>
        <w:rPr>
          <w:rFonts w:hint="eastAsia" w:ascii="Times" w:hAnsi="仿宋_GB2312" w:eastAsia="仿宋_GB2312" w:cs="仿宋_GB2312"/>
          <w:sz w:val="32"/>
          <w:szCs w:val="32"/>
          <w:highlight w:val="none"/>
          <w:lang w:eastAsia="zh-CN"/>
        </w:rPr>
        <w:t>力度</w:t>
      </w:r>
      <w:r>
        <w:rPr>
          <w:rFonts w:hint="eastAsia" w:ascii="Times" w:hAnsi="仿宋_GB2312" w:eastAsia="仿宋_GB2312" w:cs="仿宋_GB2312"/>
          <w:sz w:val="32"/>
          <w:szCs w:val="32"/>
          <w:highlight w:val="none"/>
        </w:rPr>
        <w:t>。</w:t>
      </w:r>
      <w:r>
        <w:rPr>
          <w:rFonts w:hint="eastAsia" w:ascii="Times" w:hAnsi="仿宋_GB2312" w:eastAsia="仿宋_GB2312" w:cs="仿宋_GB2312"/>
          <w:kern w:val="2"/>
          <w:sz w:val="32"/>
          <w:szCs w:val="32"/>
          <w:highlight w:val="none"/>
        </w:rPr>
        <w:t>统筹政府投资预算、盘活存量资产资源、</w:t>
      </w:r>
      <w:r>
        <w:rPr>
          <w:rFonts w:hint="eastAsia" w:ascii="Times" w:hAnsi="仿宋_GB2312" w:eastAsia="仿宋_GB2312" w:cs="仿宋_GB2312"/>
          <w:sz w:val="32"/>
          <w:szCs w:val="32"/>
          <w:highlight w:val="none"/>
        </w:rPr>
        <w:t>整合存量扶持政策</w:t>
      </w:r>
      <w:r>
        <w:rPr>
          <w:rFonts w:hint="eastAsia" w:ascii="Times" w:hAnsi="仿宋_GB2312" w:eastAsia="仿宋_GB2312" w:cs="仿宋_GB2312"/>
          <w:kern w:val="2"/>
          <w:sz w:val="32"/>
          <w:szCs w:val="32"/>
          <w:highlight w:val="none"/>
        </w:rPr>
        <w:t>、推进市场化融资等途径加大资金投入；</w:t>
      </w:r>
      <w:r>
        <w:rPr>
          <w:rFonts w:hint="eastAsia" w:ascii="Times" w:hAnsi="仿宋_GB2312" w:eastAsia="仿宋_GB2312" w:cs="仿宋_GB2312"/>
          <w:sz w:val="32"/>
          <w:szCs w:val="32"/>
          <w:highlight w:val="none"/>
        </w:rPr>
        <w:t>在不改变规划用途前提下，支持工业用地提高土地利用率和增加容积率。</w:t>
      </w:r>
    </w:p>
    <w:p>
      <w:pPr>
        <w:spacing w:line="580" w:lineRule="exact"/>
        <w:ind w:firstLine="640"/>
        <w:rPr>
          <w:rFonts w:ascii="Times" w:hAnsi="Times" w:eastAsia="仿宋_GB2312" w:cs="仿宋_GB2312"/>
          <w:sz w:val="32"/>
          <w:szCs w:val="32"/>
          <w:highlight w:val="none"/>
        </w:rPr>
      </w:pPr>
      <w:r>
        <w:rPr>
          <w:rFonts w:ascii="Times" w:hAnsi="楷体_GB2312" w:eastAsia="楷体_GB2312" w:cs="楷体_GB2312"/>
          <w:b/>
          <w:bCs/>
          <w:sz w:val="32"/>
          <w:szCs w:val="32"/>
          <w:highlight w:val="none"/>
        </w:rPr>
        <w:t>（</w:t>
      </w:r>
      <w:r>
        <w:rPr>
          <w:rFonts w:hint="eastAsia" w:ascii="Times" w:hAnsi="楷体_GB2312" w:eastAsia="楷体_GB2312" w:cs="楷体_GB2312"/>
          <w:b/>
          <w:bCs/>
          <w:sz w:val="32"/>
          <w:szCs w:val="32"/>
          <w:highlight w:val="none"/>
        </w:rPr>
        <w:t>三</w:t>
      </w:r>
      <w:r>
        <w:rPr>
          <w:rFonts w:ascii="Times" w:hAnsi="楷体_GB2312" w:eastAsia="楷体_GB2312" w:cs="楷体_GB2312"/>
          <w:b/>
          <w:bCs/>
          <w:sz w:val="32"/>
          <w:szCs w:val="32"/>
          <w:highlight w:val="none"/>
        </w:rPr>
        <w:t>）</w:t>
      </w:r>
      <w:r>
        <w:rPr>
          <w:rFonts w:hint="eastAsia" w:ascii="Times" w:hAnsi="楷体_GB2312" w:eastAsia="楷体_GB2312" w:cs="楷体_GB2312"/>
          <w:b/>
          <w:bCs/>
          <w:sz w:val="32"/>
          <w:szCs w:val="32"/>
          <w:highlight w:val="none"/>
        </w:rPr>
        <w:t>优化服务保障</w:t>
      </w:r>
      <w:r>
        <w:rPr>
          <w:rFonts w:ascii="Times" w:hAnsi="楷体_GB2312" w:eastAsia="楷体_GB2312" w:cs="楷体_GB2312"/>
          <w:b/>
          <w:bCs/>
          <w:sz w:val="32"/>
          <w:szCs w:val="32"/>
          <w:highlight w:val="none"/>
        </w:rPr>
        <w:t>。</w:t>
      </w:r>
      <w:r>
        <w:rPr>
          <w:rFonts w:hint="eastAsia" w:ascii="Times" w:hAnsi="仿宋_GB2312" w:eastAsia="仿宋_GB2312" w:cs="仿宋_GB2312"/>
          <w:sz w:val="32"/>
          <w:szCs w:val="32"/>
          <w:highlight w:val="none"/>
        </w:rPr>
        <w:t>各区各部门要对标</w:t>
      </w:r>
      <w:r>
        <w:rPr>
          <w:rFonts w:hint="eastAsia" w:ascii="Times" w:hAnsi="仿宋" w:eastAsia="仿宋"/>
          <w:sz w:val="32"/>
          <w:szCs w:val="32"/>
          <w:highlight w:val="none"/>
        </w:rPr>
        <w:t>打造国际一流营商环境的要求，</w:t>
      </w:r>
      <w:r>
        <w:rPr>
          <w:rFonts w:hint="eastAsia" w:ascii="Times" w:hAnsi="仿宋_GB2312" w:eastAsia="仿宋_GB2312" w:cs="仿宋_GB2312"/>
          <w:sz w:val="32"/>
          <w:szCs w:val="32"/>
          <w:highlight w:val="none"/>
        </w:rPr>
        <w:t>精简审批环节、提高审批效率，增强政策执行力</w:t>
      </w:r>
      <w:r>
        <w:rPr>
          <w:rFonts w:hint="eastAsia" w:ascii="Times" w:hAnsi="Times" w:eastAsia="仿宋_GB2312" w:cs="仿宋_GB2312"/>
          <w:sz w:val="32"/>
          <w:szCs w:val="32"/>
          <w:highlight w:val="none"/>
        </w:rPr>
        <w:t>,</w:t>
      </w:r>
      <w:r>
        <w:rPr>
          <w:rFonts w:hint="eastAsia" w:ascii="Times" w:hAnsi="仿宋_GB2312" w:eastAsia="仿宋_GB2312" w:cs="仿宋_GB2312"/>
          <w:sz w:val="32"/>
          <w:szCs w:val="32"/>
          <w:highlight w:val="none"/>
        </w:rPr>
        <w:t>确保政策快速直达。相关金融机构要提高服务效率，建立标准化服务体系，定期收集企业意见，及时反馈处理解决，确保政银企沟通无障碍、企业诉求有回音。</w:t>
      </w:r>
    </w:p>
    <w:p>
      <w:pPr>
        <w:spacing w:line="580" w:lineRule="exact"/>
        <w:ind w:firstLine="640"/>
        <w:rPr>
          <w:rFonts w:ascii="Times" w:hAnsi="Times" w:eastAsia="仿宋_GB2312" w:cs="仿宋_GB2312"/>
          <w:sz w:val="32"/>
          <w:szCs w:val="32"/>
          <w:highlight w:val="none"/>
        </w:rPr>
      </w:pPr>
      <w:r>
        <w:rPr>
          <w:rFonts w:ascii="Times" w:hAnsi="楷体_GB2312" w:eastAsia="楷体_GB2312" w:cs="楷体_GB2312"/>
          <w:b/>
          <w:bCs/>
          <w:sz w:val="32"/>
          <w:szCs w:val="32"/>
          <w:highlight w:val="none"/>
        </w:rPr>
        <w:t>（</w:t>
      </w:r>
      <w:r>
        <w:rPr>
          <w:rFonts w:hint="eastAsia" w:ascii="Times" w:hAnsi="楷体_GB2312" w:eastAsia="楷体_GB2312" w:cs="楷体_GB2312"/>
          <w:b/>
          <w:bCs/>
          <w:sz w:val="32"/>
          <w:szCs w:val="32"/>
          <w:highlight w:val="none"/>
        </w:rPr>
        <w:t>四</w:t>
      </w:r>
      <w:r>
        <w:rPr>
          <w:rFonts w:ascii="Times" w:hAnsi="楷体_GB2312" w:eastAsia="楷体_GB2312" w:cs="楷体_GB2312"/>
          <w:b/>
          <w:bCs/>
          <w:sz w:val="32"/>
          <w:szCs w:val="32"/>
          <w:highlight w:val="none"/>
        </w:rPr>
        <w:t>）</w:t>
      </w:r>
      <w:r>
        <w:rPr>
          <w:rFonts w:hint="eastAsia" w:ascii="Times" w:hAnsi="楷体_GB2312" w:eastAsia="楷体_GB2312" w:cs="楷体_GB2312"/>
          <w:b/>
          <w:bCs/>
          <w:sz w:val="32"/>
          <w:szCs w:val="32"/>
          <w:highlight w:val="none"/>
        </w:rPr>
        <w:t>加强</w:t>
      </w:r>
      <w:r>
        <w:rPr>
          <w:rFonts w:ascii="Times" w:hAnsi="楷体_GB2312" w:eastAsia="楷体_GB2312" w:cs="楷体_GB2312"/>
          <w:b/>
          <w:bCs/>
          <w:sz w:val="32"/>
          <w:szCs w:val="32"/>
          <w:highlight w:val="none"/>
        </w:rPr>
        <w:t>跟踪</w:t>
      </w:r>
      <w:r>
        <w:rPr>
          <w:rFonts w:hint="eastAsia" w:ascii="Times" w:hAnsi="楷体_GB2312" w:eastAsia="楷体_GB2312" w:cs="楷体_GB2312"/>
          <w:b/>
          <w:bCs/>
          <w:sz w:val="32"/>
          <w:szCs w:val="32"/>
          <w:highlight w:val="none"/>
        </w:rPr>
        <w:t>问效</w:t>
      </w:r>
      <w:r>
        <w:rPr>
          <w:rFonts w:ascii="Times" w:hAnsi="楷体_GB2312" w:eastAsia="楷体_GB2312" w:cs="楷体_GB2312"/>
          <w:b/>
          <w:bCs/>
          <w:sz w:val="32"/>
          <w:szCs w:val="32"/>
          <w:highlight w:val="none"/>
        </w:rPr>
        <w:t>。</w:t>
      </w:r>
      <w:r>
        <w:rPr>
          <w:rFonts w:hint="eastAsia" w:ascii="Times" w:hAnsi="仿宋_GB2312" w:eastAsia="仿宋_GB2312" w:cs="仿宋_GB2312"/>
          <w:sz w:val="32"/>
          <w:szCs w:val="32"/>
          <w:highlight w:val="none"/>
        </w:rPr>
        <w:t>建立健全支持增资扩产政策的事中绩效跟踪和事后绩效评价机制，牵头部门要围绕政策实施效果和资金使用效益定期进行评估，以实施效果为导向动态调整优化扶持政策设计，对各项工作落实情况进行通报，确保政策执行到位和资金使用高效。</w:t>
      </w:r>
      <w:r>
        <w:rPr>
          <w:rFonts w:hint="eastAsia" w:ascii="Times" w:hAnsi="Times" w:eastAsia="仿宋_GB2312" w:cs="仿宋_GB2312"/>
          <w:sz w:val="32"/>
          <w:szCs w:val="32"/>
          <w:highlight w:val="none"/>
        </w:rPr>
        <w:t xml:space="preserve"> </w:t>
      </w:r>
    </w:p>
    <w:p>
      <w:pPr>
        <w:spacing w:line="580" w:lineRule="exact"/>
        <w:ind w:firstLine="640"/>
        <w:rPr>
          <w:rFonts w:ascii="Times" w:hAnsi="Times" w:eastAsia="仿宋_GB2312" w:cs="仿宋_GB2312"/>
          <w:sz w:val="32"/>
          <w:szCs w:val="32"/>
          <w:highlight w:val="none"/>
        </w:rPr>
      </w:pPr>
      <w:r>
        <w:rPr>
          <w:rFonts w:hint="eastAsia" w:ascii="Times" w:hAnsi="仿宋_GB2312" w:eastAsia="仿宋_GB2312" w:cs="仿宋_GB2312"/>
          <w:sz w:val="32"/>
          <w:szCs w:val="32"/>
          <w:highlight w:val="none"/>
          <w:lang w:eastAsia="zh-CN"/>
        </w:rPr>
        <w:t>本方案第二部分第（一）、（二）、（四）条内容所涉及的补助、贴息资金由市区按现行财政体制分担。</w:t>
      </w:r>
      <w:r>
        <w:rPr>
          <w:rFonts w:hint="eastAsia" w:ascii="Times" w:hAnsi="仿宋_GB2312" w:eastAsia="仿宋_GB2312" w:cs="仿宋_GB2312"/>
          <w:sz w:val="32"/>
          <w:szCs w:val="32"/>
          <w:highlight w:val="none"/>
        </w:rPr>
        <w:t>现有企业（项目）已享受</w:t>
      </w:r>
      <w:r>
        <w:rPr>
          <w:rFonts w:hint="eastAsia" w:ascii="Times" w:hAnsi="Times" w:eastAsia="仿宋_GB2312" w:cs="仿宋_GB2312"/>
          <w:sz w:val="32"/>
          <w:szCs w:val="32"/>
          <w:highlight w:val="none"/>
          <w:lang w:eastAsia="zh-CN"/>
        </w:rPr>
        <w:t>专门</w:t>
      </w:r>
      <w:r>
        <w:rPr>
          <w:rFonts w:hint="eastAsia" w:ascii="Times" w:hAnsi="仿宋_GB2312" w:eastAsia="仿宋_GB2312" w:cs="仿宋_GB2312"/>
          <w:sz w:val="32"/>
          <w:szCs w:val="32"/>
          <w:highlight w:val="none"/>
        </w:rPr>
        <w:t>优惠政策的，不适用本</w:t>
      </w:r>
      <w:r>
        <w:rPr>
          <w:rFonts w:hint="eastAsia" w:ascii="Times" w:hAnsi="仿宋_GB2312" w:eastAsia="仿宋_GB2312" w:cs="仿宋_GB2312"/>
          <w:sz w:val="32"/>
          <w:szCs w:val="32"/>
          <w:highlight w:val="none"/>
          <w:lang w:eastAsia="zh-CN"/>
        </w:rPr>
        <w:t>方案</w:t>
      </w:r>
      <w:r>
        <w:rPr>
          <w:rFonts w:hint="eastAsia" w:ascii="Times" w:hAnsi="仿宋_GB2312" w:eastAsia="仿宋_GB2312" w:cs="仿宋_GB2312"/>
          <w:sz w:val="32"/>
          <w:szCs w:val="32"/>
          <w:highlight w:val="none"/>
        </w:rPr>
        <w:t>第二部分第（一）条</w:t>
      </w:r>
      <w:r>
        <w:rPr>
          <w:rFonts w:hint="eastAsia" w:ascii="Times" w:hAnsi="仿宋_GB2312" w:eastAsia="仿宋_GB2312" w:cs="仿宋_GB2312"/>
          <w:sz w:val="32"/>
          <w:szCs w:val="32"/>
          <w:highlight w:val="none"/>
          <w:lang w:eastAsia="zh-CN"/>
        </w:rPr>
        <w:t>内容</w:t>
      </w:r>
      <w:r>
        <w:rPr>
          <w:rFonts w:hint="eastAsia" w:ascii="Times" w:hAnsi="仿宋_GB2312" w:eastAsia="仿宋_GB2312" w:cs="仿宋_GB2312"/>
          <w:sz w:val="32"/>
          <w:szCs w:val="32"/>
          <w:highlight w:val="none"/>
        </w:rPr>
        <w:t>。本市已出台的扶持政策与本</w:t>
      </w:r>
      <w:r>
        <w:rPr>
          <w:rFonts w:hint="eastAsia" w:ascii="Times" w:hAnsi="仿宋_GB2312" w:eastAsia="仿宋_GB2312" w:cs="仿宋_GB2312"/>
          <w:sz w:val="32"/>
          <w:szCs w:val="32"/>
          <w:highlight w:val="none"/>
          <w:lang w:eastAsia="zh-CN"/>
        </w:rPr>
        <w:t>方案</w:t>
      </w:r>
      <w:r>
        <w:rPr>
          <w:rFonts w:hint="eastAsia" w:ascii="Times" w:hAnsi="仿宋_GB2312" w:eastAsia="仿宋_GB2312" w:cs="仿宋_GB2312"/>
          <w:sz w:val="32"/>
          <w:szCs w:val="32"/>
          <w:highlight w:val="none"/>
        </w:rPr>
        <w:t>资金奖励有重复的，按</w:t>
      </w:r>
      <w:r>
        <w:rPr>
          <w:rFonts w:hint="eastAsia" w:ascii="Times" w:hAnsi="Times" w:eastAsia="仿宋_GB2312" w:cs="仿宋_GB2312"/>
          <w:sz w:val="32"/>
          <w:szCs w:val="32"/>
          <w:highlight w:val="none"/>
        </w:rPr>
        <w:t>“</w:t>
      </w:r>
      <w:r>
        <w:rPr>
          <w:rFonts w:hint="eastAsia" w:ascii="Times" w:hAnsi="仿宋_GB2312" w:eastAsia="仿宋_GB2312" w:cs="仿宋_GB2312"/>
          <w:sz w:val="32"/>
          <w:szCs w:val="32"/>
          <w:highlight w:val="none"/>
        </w:rPr>
        <w:t>就高不就低、不重复享受</w:t>
      </w:r>
      <w:r>
        <w:rPr>
          <w:rFonts w:hint="eastAsia" w:ascii="Times" w:hAnsi="Times" w:eastAsia="仿宋_GB2312" w:cs="仿宋_GB2312"/>
          <w:sz w:val="32"/>
          <w:szCs w:val="32"/>
          <w:highlight w:val="none"/>
        </w:rPr>
        <w:t>”</w:t>
      </w:r>
      <w:r>
        <w:rPr>
          <w:rFonts w:hint="eastAsia" w:ascii="Times" w:hAnsi="仿宋_GB2312" w:eastAsia="仿宋_GB2312" w:cs="仿宋_GB2312"/>
          <w:sz w:val="32"/>
          <w:szCs w:val="32"/>
          <w:highlight w:val="none"/>
        </w:rPr>
        <w:t>原则进行奖励。现行政策与本</w:t>
      </w:r>
      <w:r>
        <w:rPr>
          <w:rFonts w:hint="eastAsia" w:ascii="Times" w:hAnsi="仿宋_GB2312" w:eastAsia="仿宋_GB2312" w:cs="仿宋_GB2312"/>
          <w:sz w:val="32"/>
          <w:szCs w:val="32"/>
          <w:highlight w:val="none"/>
          <w:lang w:eastAsia="zh-CN"/>
        </w:rPr>
        <w:t>方案</w:t>
      </w:r>
      <w:r>
        <w:rPr>
          <w:rFonts w:hint="eastAsia" w:ascii="Times" w:hAnsi="仿宋_GB2312" w:eastAsia="仿宋_GB2312" w:cs="仿宋_GB2312"/>
          <w:sz w:val="32"/>
          <w:szCs w:val="32"/>
          <w:highlight w:val="none"/>
        </w:rPr>
        <w:t>不一致的以本</w:t>
      </w:r>
      <w:r>
        <w:rPr>
          <w:rFonts w:hint="eastAsia" w:ascii="Times" w:hAnsi="仿宋_GB2312" w:eastAsia="仿宋_GB2312" w:cs="仿宋_GB2312"/>
          <w:sz w:val="32"/>
          <w:szCs w:val="32"/>
          <w:highlight w:val="none"/>
          <w:lang w:eastAsia="zh-CN"/>
        </w:rPr>
        <w:t>方案</w:t>
      </w:r>
      <w:r>
        <w:rPr>
          <w:rFonts w:hint="eastAsia" w:ascii="Times" w:hAnsi="仿宋_GB2312" w:eastAsia="仿宋_GB2312" w:cs="仿宋_GB2312"/>
          <w:sz w:val="32"/>
          <w:szCs w:val="32"/>
          <w:highlight w:val="none"/>
        </w:rPr>
        <w:t>为准，如遇具体条款有关政策修改按修改后政策执行。</w:t>
      </w:r>
    </w:p>
    <w:p>
      <w:pPr>
        <w:pStyle w:val="2"/>
        <w:ind w:firstLine="640" w:firstLineChars="200"/>
        <w:rPr>
          <w:rFonts w:ascii="Times" w:hAnsi="Times" w:eastAsia="仿宋_GB2312" w:cs="仿宋_GB2312"/>
          <w:sz w:val="32"/>
          <w:szCs w:val="32"/>
          <w:highlight w:val="none"/>
        </w:rPr>
      </w:pPr>
      <w:r>
        <w:rPr>
          <w:rFonts w:hint="eastAsia" w:ascii="Times" w:hAnsi="仿宋_GB2312" w:eastAsia="仿宋_GB2312" w:cs="仿宋_GB2312"/>
          <w:sz w:val="32"/>
          <w:szCs w:val="32"/>
          <w:highlight w:val="none"/>
        </w:rPr>
        <w:t>本</w:t>
      </w:r>
      <w:r>
        <w:rPr>
          <w:rFonts w:hint="eastAsia" w:ascii="Times" w:hAnsi="仿宋_GB2312" w:eastAsia="仿宋_GB2312" w:cs="仿宋_GB2312"/>
          <w:sz w:val="32"/>
          <w:szCs w:val="32"/>
          <w:highlight w:val="none"/>
          <w:lang w:eastAsia="zh-CN"/>
        </w:rPr>
        <w:t>方案</w:t>
      </w:r>
      <w:r>
        <w:rPr>
          <w:rFonts w:hint="eastAsia" w:ascii="Times" w:hAnsi="仿宋_GB2312" w:eastAsia="仿宋_GB2312" w:cs="仿宋_GB2312"/>
          <w:sz w:val="32"/>
          <w:szCs w:val="32"/>
          <w:highlight w:val="none"/>
        </w:rPr>
        <w:t>自</w:t>
      </w:r>
      <w:r>
        <w:rPr>
          <w:rFonts w:hint="eastAsia" w:ascii="Times" w:hAnsi="Times" w:eastAsia="仿宋_GB2312" w:cs="仿宋_GB2312"/>
          <w:sz w:val="32"/>
          <w:szCs w:val="32"/>
          <w:highlight w:val="none"/>
        </w:rPr>
        <w:t>2023</w:t>
      </w:r>
      <w:r>
        <w:rPr>
          <w:rFonts w:hint="eastAsia" w:ascii="Times" w:hAnsi="仿宋_GB2312" w:eastAsia="仿宋_GB2312" w:cs="仿宋_GB2312"/>
          <w:sz w:val="32"/>
          <w:szCs w:val="32"/>
          <w:highlight w:val="none"/>
        </w:rPr>
        <w:t>年</w:t>
      </w:r>
      <w:r>
        <w:rPr>
          <w:rFonts w:hint="eastAsia" w:ascii="Times" w:hAnsi="Times" w:eastAsia="仿宋_GB2312" w:cs="仿宋_GB2312"/>
          <w:sz w:val="32"/>
          <w:szCs w:val="32"/>
          <w:highlight w:val="none"/>
        </w:rPr>
        <w:t>1</w:t>
      </w:r>
      <w:r>
        <w:rPr>
          <w:rFonts w:hint="eastAsia" w:ascii="Times" w:hAnsi="仿宋_GB2312" w:eastAsia="仿宋_GB2312" w:cs="仿宋_GB2312"/>
          <w:sz w:val="32"/>
          <w:szCs w:val="32"/>
          <w:highlight w:val="none"/>
        </w:rPr>
        <w:t>月</w:t>
      </w:r>
      <w:r>
        <w:rPr>
          <w:rFonts w:hint="eastAsia" w:ascii="Times" w:hAnsi="Times" w:eastAsia="仿宋_GB2312" w:cs="仿宋_GB2312"/>
          <w:sz w:val="32"/>
          <w:szCs w:val="32"/>
          <w:highlight w:val="none"/>
        </w:rPr>
        <w:t>1</w:t>
      </w:r>
      <w:r>
        <w:rPr>
          <w:rFonts w:hint="eastAsia" w:ascii="Times" w:hAnsi="仿宋_GB2312" w:eastAsia="仿宋_GB2312" w:cs="仿宋_GB2312"/>
          <w:sz w:val="32"/>
          <w:szCs w:val="32"/>
          <w:highlight w:val="none"/>
        </w:rPr>
        <w:t>日起实施，由市财政局会同有关责任</w:t>
      </w:r>
      <w:r>
        <w:rPr>
          <w:rFonts w:hint="eastAsia" w:ascii="Times" w:hAnsi="仿宋_GB2312" w:eastAsia="仿宋_GB2312" w:cs="仿宋_GB2312"/>
          <w:sz w:val="32"/>
          <w:szCs w:val="32"/>
          <w:highlight w:val="none"/>
          <w:lang w:eastAsia="zh-CN"/>
        </w:rPr>
        <w:t>单位</w:t>
      </w:r>
      <w:r>
        <w:rPr>
          <w:rFonts w:hint="eastAsia" w:ascii="Times" w:hAnsi="仿宋_GB2312" w:eastAsia="仿宋_GB2312" w:cs="仿宋_GB2312"/>
          <w:sz w:val="32"/>
          <w:szCs w:val="32"/>
          <w:highlight w:val="none"/>
        </w:rPr>
        <w:t>负责解释。</w:t>
      </w:r>
    </w:p>
    <w:p>
      <w:pPr>
        <w:pStyle w:val="2"/>
        <w:rPr>
          <w:rFonts w:ascii="Times" w:hAnsi="Times"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imes">
    <w:altName w:val="Nimbus Roman No9 L"/>
    <w:panose1 w:val="020206030504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07304"/>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23AC639B"/>
    <w:rsid w:val="000035CE"/>
    <w:rsid w:val="0002108D"/>
    <w:rsid w:val="00080BF9"/>
    <w:rsid w:val="00090CC9"/>
    <w:rsid w:val="000C1C0A"/>
    <w:rsid w:val="00110176"/>
    <w:rsid w:val="00163B05"/>
    <w:rsid w:val="0017271A"/>
    <w:rsid w:val="001F30FA"/>
    <w:rsid w:val="002209BC"/>
    <w:rsid w:val="002426BD"/>
    <w:rsid w:val="002630A3"/>
    <w:rsid w:val="00287F50"/>
    <w:rsid w:val="00294343"/>
    <w:rsid w:val="002E023C"/>
    <w:rsid w:val="002F2DEF"/>
    <w:rsid w:val="002F51A9"/>
    <w:rsid w:val="003042BF"/>
    <w:rsid w:val="00332E4A"/>
    <w:rsid w:val="00365858"/>
    <w:rsid w:val="00391231"/>
    <w:rsid w:val="00391ABC"/>
    <w:rsid w:val="00396D78"/>
    <w:rsid w:val="003C337E"/>
    <w:rsid w:val="003E1167"/>
    <w:rsid w:val="00400F88"/>
    <w:rsid w:val="0040635F"/>
    <w:rsid w:val="00437357"/>
    <w:rsid w:val="00463B8B"/>
    <w:rsid w:val="004927A9"/>
    <w:rsid w:val="004B4666"/>
    <w:rsid w:val="004B47C2"/>
    <w:rsid w:val="004C49B1"/>
    <w:rsid w:val="0055692F"/>
    <w:rsid w:val="00561B2E"/>
    <w:rsid w:val="005905BC"/>
    <w:rsid w:val="005A3950"/>
    <w:rsid w:val="005B5665"/>
    <w:rsid w:val="005D40EA"/>
    <w:rsid w:val="005D6B67"/>
    <w:rsid w:val="00680812"/>
    <w:rsid w:val="006A1D04"/>
    <w:rsid w:val="006A5DB5"/>
    <w:rsid w:val="00724C1B"/>
    <w:rsid w:val="00744AA4"/>
    <w:rsid w:val="0075289F"/>
    <w:rsid w:val="00774985"/>
    <w:rsid w:val="00790DDC"/>
    <w:rsid w:val="007919B0"/>
    <w:rsid w:val="007C12C3"/>
    <w:rsid w:val="007C1E68"/>
    <w:rsid w:val="007F10CD"/>
    <w:rsid w:val="0081654A"/>
    <w:rsid w:val="00877DB8"/>
    <w:rsid w:val="008E6D88"/>
    <w:rsid w:val="008E751A"/>
    <w:rsid w:val="00973794"/>
    <w:rsid w:val="009C4BD9"/>
    <w:rsid w:val="009C6041"/>
    <w:rsid w:val="00A050D0"/>
    <w:rsid w:val="00A22B84"/>
    <w:rsid w:val="00A30053"/>
    <w:rsid w:val="00A30EE7"/>
    <w:rsid w:val="00A6239B"/>
    <w:rsid w:val="00A672B5"/>
    <w:rsid w:val="00A97DE8"/>
    <w:rsid w:val="00AA4ED4"/>
    <w:rsid w:val="00B00ABE"/>
    <w:rsid w:val="00B3177F"/>
    <w:rsid w:val="00B9043F"/>
    <w:rsid w:val="00B92561"/>
    <w:rsid w:val="00BB3DA2"/>
    <w:rsid w:val="00BD6F46"/>
    <w:rsid w:val="00C63FB9"/>
    <w:rsid w:val="00C67617"/>
    <w:rsid w:val="00C86A28"/>
    <w:rsid w:val="00C93D5F"/>
    <w:rsid w:val="00CA74DB"/>
    <w:rsid w:val="00CC055A"/>
    <w:rsid w:val="00D45451"/>
    <w:rsid w:val="00DB35FE"/>
    <w:rsid w:val="00DC4687"/>
    <w:rsid w:val="00DF7C78"/>
    <w:rsid w:val="00E15D52"/>
    <w:rsid w:val="00E60EBC"/>
    <w:rsid w:val="00E6699A"/>
    <w:rsid w:val="00E72AED"/>
    <w:rsid w:val="00E7768D"/>
    <w:rsid w:val="00E82D14"/>
    <w:rsid w:val="00E878AE"/>
    <w:rsid w:val="00EA4983"/>
    <w:rsid w:val="00ED41DB"/>
    <w:rsid w:val="00F1109A"/>
    <w:rsid w:val="00F179D5"/>
    <w:rsid w:val="00F301AE"/>
    <w:rsid w:val="00F373BA"/>
    <w:rsid w:val="00F4718A"/>
    <w:rsid w:val="00F5721B"/>
    <w:rsid w:val="00F57ED4"/>
    <w:rsid w:val="00FB0F4B"/>
    <w:rsid w:val="00FB7232"/>
    <w:rsid w:val="00FC6A14"/>
    <w:rsid w:val="00FD3C30"/>
    <w:rsid w:val="00FE017B"/>
    <w:rsid w:val="00FF0FE9"/>
    <w:rsid w:val="0336575A"/>
    <w:rsid w:val="234158F3"/>
    <w:rsid w:val="23AC639B"/>
    <w:rsid w:val="2EE4E1E9"/>
    <w:rsid w:val="3E7B71EB"/>
    <w:rsid w:val="3F775422"/>
    <w:rsid w:val="3FCEAA32"/>
    <w:rsid w:val="3FF74E10"/>
    <w:rsid w:val="48057578"/>
    <w:rsid w:val="4A35C965"/>
    <w:rsid w:val="4FAB73F2"/>
    <w:rsid w:val="4FEFB199"/>
    <w:rsid w:val="57BFD0A8"/>
    <w:rsid w:val="5FF3EF94"/>
    <w:rsid w:val="673E0D53"/>
    <w:rsid w:val="6AFE22D9"/>
    <w:rsid w:val="737F5BDF"/>
    <w:rsid w:val="7DE726D8"/>
    <w:rsid w:val="7FE373A7"/>
    <w:rsid w:val="7FFEBB9D"/>
    <w:rsid w:val="7FFF2F0D"/>
    <w:rsid w:val="8CB81887"/>
    <w:rsid w:val="A7BCE820"/>
    <w:rsid w:val="BBDD0686"/>
    <w:rsid w:val="BD729018"/>
    <w:rsid w:val="BE67C609"/>
    <w:rsid w:val="BFEA936E"/>
    <w:rsid w:val="CCBF3FDC"/>
    <w:rsid w:val="DCF64CF9"/>
    <w:rsid w:val="DF7F7A64"/>
    <w:rsid w:val="F3FE58A2"/>
    <w:rsid w:val="F7F2F777"/>
    <w:rsid w:val="FBBF0504"/>
    <w:rsid w:val="FDE67528"/>
    <w:rsid w:val="FE6FDDA1"/>
    <w:rsid w:val="FF6FB710"/>
    <w:rsid w:val="FF78D522"/>
    <w:rsid w:val="FF7FB25A"/>
    <w:rsid w:val="FF9B52B0"/>
    <w:rsid w:val="FFFF768E"/>
    <w:rsid w:val="FFFFE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next w:val="3"/>
    <w:qFormat/>
    <w:uiPriority w:val="0"/>
  </w:style>
  <w:style w:type="paragraph" w:styleId="3">
    <w:name w:val="index 5"/>
    <w:basedOn w:val="1"/>
    <w:next w:val="1"/>
    <w:qFormat/>
    <w:uiPriority w:val="0"/>
    <w:pPr>
      <w:ind w:left="1680"/>
    </w:pPr>
    <w:rPr>
      <w:color w:val="333333"/>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paragraph" w:customStyle="1" w:styleId="11">
    <w:name w:val="p1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3512</Words>
  <Characters>3630</Characters>
  <Lines>26</Lines>
  <Paragraphs>7</Paragraphs>
  <TotalTime>20</TotalTime>
  <ScaleCrop>false</ScaleCrop>
  <LinksUpToDate>false</LinksUpToDate>
  <CharactersWithSpaces>3633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2023-02-10T22:40:00Z</dcterms:created>
  <dc:creator>Administrator</dc:creator>
  <cp:lastModifiedBy>xmadmin</cp:lastModifiedBy>
  <cp:lastPrinted>2023-02-10T17:37:00Z</cp:lastPrinted>
  <dcterms:modified xsi:type="dcterms:W3CDTF">2023-02-11T15:31:56Z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469621AAC26F43AEAB46958EECD244CD</vt:lpwstr>
  </property>
</Properties>
</file>