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11DB3">
      <w:pPr>
        <w:widowControl/>
        <w:shd w:val="clear" w:color="auto" w:fill="FFFFFF"/>
        <w:spacing w:before="100" w:beforeAutospacing="1" w:after="100" w:afterAutospacing="1" w:line="620" w:lineRule="exact"/>
        <w:jc w:val="center"/>
        <w:rPr>
          <w:rFonts w:ascii="宋体" w:hAnsi="宋体" w:eastAsia="宋体" w:cs="宋体"/>
          <w:b/>
          <w:kern w:val="0"/>
          <w:sz w:val="24"/>
          <w:szCs w:val="24"/>
        </w:rPr>
      </w:pPr>
      <w:r>
        <w:rPr>
          <w:rFonts w:hint="eastAsia" w:ascii="方正小标宋简体" w:hAnsi="宋体" w:eastAsia="方正小标宋简体" w:cs="Times New Roman"/>
          <w:b/>
          <w:kern w:val="0"/>
          <w:sz w:val="44"/>
          <w:szCs w:val="44"/>
          <w:shd w:val="clear" w:color="auto" w:fill="FFFFFF"/>
        </w:rPr>
        <w:t>2017年度</w:t>
      </w:r>
      <w:bookmarkStart w:id="0" w:name="_GoBack"/>
      <w:bookmarkEnd w:id="0"/>
      <w:r>
        <w:rPr>
          <w:rFonts w:hint="eastAsia" w:ascii="方正小标宋简体" w:hAnsi="宋体" w:eastAsia="方正小标宋简体" w:cs="Times New Roman"/>
          <w:b/>
          <w:kern w:val="0"/>
          <w:sz w:val="44"/>
          <w:szCs w:val="44"/>
          <w:shd w:val="clear" w:color="auto" w:fill="FFFFFF"/>
        </w:rPr>
        <w:t>厦门市经济和信息化局（汇总）部门决算说明</w:t>
      </w:r>
    </w:p>
    <w:p w14:paraId="4F2FC750">
      <w:pPr>
        <w:widowControl/>
        <w:spacing w:before="100" w:beforeAutospacing="1" w:after="100" w:afterAutospacing="1" w:line="240" w:lineRule="exact"/>
        <w:ind w:firstLine="640" w:firstLineChars="200"/>
        <w:jc w:val="left"/>
        <w:rPr>
          <w:rFonts w:ascii="宋体" w:hAnsi="宋体" w:eastAsia="宋体" w:cs="宋体"/>
          <w:kern w:val="0"/>
          <w:sz w:val="24"/>
          <w:szCs w:val="24"/>
        </w:rPr>
      </w:pPr>
      <w:r>
        <w:rPr>
          <w:rFonts w:ascii="Calibri" w:hAnsi="Calibri" w:eastAsia="仿宋_GB2312" w:cs="宋体"/>
          <w:kern w:val="0"/>
          <w:sz w:val="32"/>
          <w:szCs w:val="32"/>
        </w:rPr>
        <w:t> </w:t>
      </w:r>
    </w:p>
    <w:p w14:paraId="1FEF0531">
      <w:pPr>
        <w:widowControl/>
        <w:spacing w:before="100" w:beforeAutospacing="1" w:after="100" w:afterAutospacing="1" w:line="600" w:lineRule="exac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按照《中华人民共和国预算法》以及《厦门市财政局关于厦门市经济和信息化局（汇总）单位2017年度部门决算批复》（厦财决批企〔2018〕5号）的批复，现将我单位2017年度部门决算说明如下 :</w:t>
      </w:r>
    </w:p>
    <w:p w14:paraId="1687AD88">
      <w:pPr>
        <w:widowControl/>
        <w:spacing w:before="100" w:beforeAutospacing="1" w:after="100" w:afterAutospacing="1" w:line="600" w:lineRule="exact"/>
        <w:ind w:firstLine="640" w:firstLineChars="200"/>
        <w:jc w:val="left"/>
        <w:rPr>
          <w:rFonts w:ascii="宋体" w:hAnsi="宋体" w:eastAsia="宋体" w:cs="宋体"/>
          <w:kern w:val="0"/>
          <w:sz w:val="24"/>
          <w:szCs w:val="24"/>
        </w:rPr>
      </w:pPr>
      <w:r>
        <w:rPr>
          <w:rFonts w:hint="eastAsia" w:ascii="黑体" w:hAnsi="宋体" w:eastAsia="黑体" w:cs="宋体"/>
          <w:kern w:val="0"/>
          <w:sz w:val="32"/>
          <w:szCs w:val="32"/>
        </w:rPr>
        <w:t>一、部门主要职责</w:t>
      </w:r>
    </w:p>
    <w:p w14:paraId="250234AB">
      <w:pPr>
        <w:widowControl/>
        <w:spacing w:before="100" w:beforeAutospacing="1" w:after="100" w:afterAutospacing="1" w:line="600" w:lineRule="exac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厦门市经济和信息化局部门的主要职责是：</w:t>
      </w:r>
    </w:p>
    <w:p w14:paraId="70692A6F">
      <w:pPr>
        <w:pStyle w:val="2"/>
        <w:shd w:val="clear" w:color="auto" w:fill="auto"/>
        <w:snapToGrid w:val="0"/>
        <w:spacing w:before="0" w:after="0" w:line="520" w:lineRule="atLeast"/>
        <w:ind w:left="20" w:right="20" w:firstLine="640"/>
        <w:jc w:val="both"/>
        <w:rPr>
          <w:rFonts w:ascii="仿宋" w:hAnsi="仿宋" w:eastAsia="仿宋" w:cs="宋体"/>
          <w:sz w:val="32"/>
          <w:szCs w:val="32"/>
        </w:rPr>
      </w:pPr>
      <w:r>
        <w:rPr>
          <w:rFonts w:hint="eastAsia" w:ascii="仿宋" w:hAnsi="仿宋" w:eastAsia="仿宋" w:cs="宋体"/>
          <w:sz w:val="32"/>
          <w:szCs w:val="32"/>
        </w:rPr>
        <w:t>(一）贯彻执行国家经济和信息化发展战略、法律法规和政策; 起草并组织实施我市相关地方性法规、政府规章；拟订并组织实施新型工业化、信息化的战略、规划、计划及政策措施，推进现代产业体系建设，指导、监督、检查执行情况；参与拟订全市国民经济和社会发展战略、中长期规划和年度计划。</w:t>
      </w:r>
    </w:p>
    <w:p w14:paraId="05617C2B">
      <w:pPr>
        <w:pStyle w:val="2"/>
        <w:shd w:val="clear" w:color="auto" w:fill="auto"/>
        <w:snapToGrid w:val="0"/>
        <w:spacing w:before="0" w:after="0" w:line="520" w:lineRule="atLeast"/>
        <w:ind w:left="20" w:right="20" w:firstLine="640"/>
        <w:jc w:val="both"/>
        <w:rPr>
          <w:rFonts w:ascii="仿宋" w:hAnsi="仿宋" w:eastAsia="仿宋" w:cs="宋体"/>
          <w:sz w:val="32"/>
          <w:szCs w:val="32"/>
        </w:rPr>
      </w:pPr>
      <w:r>
        <w:rPr>
          <w:rFonts w:hint="eastAsia" w:ascii="仿宋" w:hAnsi="仿宋" w:eastAsia="仿宋" w:cs="宋体"/>
          <w:sz w:val="32"/>
          <w:szCs w:val="32"/>
        </w:rPr>
        <w:t>(二）负责监测分析全市工业、信息化经济运行态势，并发布相关信息；拟订并组织实施工业、信息化运行调控目标、政策和措施; 协调解决工业和信息化运行中的有关问题；建立并组织实施重点行业、重点企业、重点产品运行调度机制和经济运行应急调度机制；拟订并组织实施全市重要工业品、重要生产原材料等的调控方案；建立工业企业服务机制。</w:t>
      </w:r>
    </w:p>
    <w:p w14:paraId="33E2B05A">
      <w:pPr>
        <w:pStyle w:val="2"/>
        <w:shd w:val="clear" w:color="auto" w:fill="auto"/>
        <w:snapToGrid w:val="0"/>
        <w:spacing w:before="0" w:after="0" w:line="520" w:lineRule="atLeast"/>
        <w:ind w:left="20" w:right="20" w:firstLine="640"/>
        <w:jc w:val="both"/>
        <w:rPr>
          <w:rFonts w:ascii="仿宋" w:hAnsi="仿宋" w:eastAsia="仿宋" w:cs="宋体"/>
          <w:sz w:val="32"/>
          <w:szCs w:val="32"/>
        </w:rPr>
      </w:pPr>
      <w:r>
        <w:rPr>
          <w:rFonts w:hint="eastAsia" w:ascii="仿宋" w:hAnsi="仿宋" w:eastAsia="仿宋" w:cs="宋体"/>
          <w:sz w:val="32"/>
          <w:szCs w:val="32"/>
        </w:rPr>
        <w:t>(三）负责拟订并组织实施我市产业发展、结构调整升级的政策措施；负责提出工业和信息化领域固定资产投资方向和目录，按规定负责管理工业和信息化领域企业投资项目，指导推进企业技术改造；拟订并组织实施工业和信息化领域企业投资项目利用政府资金的政策和使用管理办法；指导、推进我市工业和信息化企业与央属企业合作；指导、推进工业和信息化领域对台、港、澳地区和对外产业交流与合作；拟订产业龙头促进计划、产业集群建设发展意见和政策措施，统筹、规划、指导、协调全市工业和信息化产业布局和产业园区（基地）建设。</w:t>
      </w:r>
    </w:p>
    <w:p w14:paraId="3C844E6A">
      <w:pPr>
        <w:pStyle w:val="2"/>
        <w:shd w:val="clear" w:color="auto" w:fill="auto"/>
        <w:snapToGrid w:val="0"/>
        <w:spacing w:before="0" w:after="0" w:line="520" w:lineRule="atLeast"/>
        <w:ind w:left="20" w:right="20" w:firstLine="640"/>
        <w:jc w:val="both"/>
        <w:rPr>
          <w:rFonts w:ascii="仿宋" w:hAnsi="仿宋" w:eastAsia="仿宋" w:cs="宋体"/>
          <w:sz w:val="32"/>
          <w:szCs w:val="32"/>
        </w:rPr>
      </w:pPr>
      <w:r>
        <w:rPr>
          <w:rFonts w:hint="eastAsia" w:ascii="仿宋" w:hAnsi="仿宋" w:eastAsia="仿宋" w:cs="宋体"/>
          <w:sz w:val="32"/>
          <w:szCs w:val="32"/>
        </w:rPr>
        <w:t>(四）负责全市相关能源行业管理；负责监测分析能源运行情况并发布能源信息；衔接能源生产和供需平衡，协调解决能源运行中的重大问题；培育和监管能源市场；提出能源价格调整建议；负责煤、电、油、气的应急调度和保障工作；负责全市电力运行与调度管理；负责能源行业安全管理；依法负责全市发电企业并网运行条件审查；依法承担全市电力行政执法工作。</w:t>
      </w:r>
    </w:p>
    <w:p w14:paraId="078ACDDB">
      <w:pPr>
        <w:pStyle w:val="2"/>
        <w:shd w:val="clear" w:color="auto" w:fill="auto"/>
        <w:snapToGrid w:val="0"/>
        <w:spacing w:before="0" w:after="0" w:line="520" w:lineRule="atLeast"/>
        <w:ind w:left="20" w:right="20" w:firstLine="640"/>
        <w:jc w:val="both"/>
        <w:rPr>
          <w:rFonts w:ascii="仿宋" w:hAnsi="仿宋" w:eastAsia="仿宋" w:cs="宋体"/>
          <w:sz w:val="32"/>
          <w:szCs w:val="32"/>
        </w:rPr>
      </w:pPr>
      <w:r>
        <w:rPr>
          <w:rFonts w:hint="eastAsia" w:ascii="仿宋" w:hAnsi="仿宋" w:eastAsia="仿宋" w:cs="宋体"/>
          <w:sz w:val="32"/>
          <w:szCs w:val="32"/>
        </w:rPr>
        <w:t>(五）负责全市节能监督管理；组织协调、监督管理循环经济发展工作；组织协调清洁生产促进工作；指导资源综合开发和合理利用；依法承担节能等相关行政执法工作。</w:t>
      </w:r>
    </w:p>
    <w:p w14:paraId="61786AB4">
      <w:pPr>
        <w:pStyle w:val="2"/>
        <w:shd w:val="clear" w:color="auto" w:fill="auto"/>
        <w:snapToGrid w:val="0"/>
        <w:spacing w:before="0" w:after="0" w:line="520" w:lineRule="atLeast"/>
        <w:ind w:left="20" w:right="20" w:firstLine="640"/>
        <w:jc w:val="both"/>
        <w:rPr>
          <w:rFonts w:ascii="仿宋" w:hAnsi="仿宋" w:eastAsia="仿宋" w:cs="宋体"/>
          <w:sz w:val="32"/>
          <w:szCs w:val="32"/>
        </w:rPr>
      </w:pPr>
      <w:r>
        <w:rPr>
          <w:rFonts w:hint="eastAsia" w:ascii="仿宋" w:hAnsi="仿宋" w:eastAsia="仿宋" w:cs="宋体"/>
          <w:sz w:val="32"/>
          <w:szCs w:val="32"/>
        </w:rPr>
        <w:t>(六）负责原材料工业、装备工业、都市产业（消费品工业）、电子信息产业、软件和信息服务业等行业管理工作；拟订并组织实施行业技术规范、标准、行业准入和产业政策；指导行业质量和品牌工作；协调解决行业运行发展中的重大问题；负责传统工艺美术行业管理；依法负责农药生产的监督管理。</w:t>
      </w:r>
    </w:p>
    <w:p w14:paraId="4DE6C057">
      <w:pPr>
        <w:pStyle w:val="2"/>
        <w:shd w:val="clear" w:color="auto" w:fill="auto"/>
        <w:snapToGrid w:val="0"/>
        <w:spacing w:before="0" w:after="0" w:line="520" w:lineRule="atLeast"/>
        <w:ind w:left="20" w:right="20" w:firstLine="640"/>
        <w:jc w:val="both"/>
        <w:rPr>
          <w:rFonts w:ascii="仿宋" w:hAnsi="仿宋" w:eastAsia="仿宋" w:cs="宋体"/>
          <w:sz w:val="32"/>
          <w:szCs w:val="32"/>
        </w:rPr>
      </w:pPr>
      <w:r>
        <w:rPr>
          <w:rFonts w:hint="eastAsia" w:ascii="仿宋" w:hAnsi="仿宋" w:eastAsia="仿宋" w:cs="宋体"/>
          <w:sz w:val="32"/>
          <w:szCs w:val="32"/>
        </w:rPr>
        <w:t>(七）负责有关军品的管理，承担市军品生产企业的基本建设、技术改造、科研开发、新产品研制等的审核工作；负责促进军民融合发展和军工技术转民用的工作。</w:t>
      </w:r>
    </w:p>
    <w:p w14:paraId="798602F5">
      <w:pPr>
        <w:pStyle w:val="2"/>
        <w:shd w:val="clear" w:color="auto" w:fill="auto"/>
        <w:snapToGrid w:val="0"/>
        <w:spacing w:before="0" w:after="0" w:line="520" w:lineRule="atLeast"/>
        <w:ind w:left="20" w:right="20" w:firstLine="640"/>
        <w:jc w:val="both"/>
        <w:rPr>
          <w:rFonts w:ascii="仿宋" w:hAnsi="仿宋" w:eastAsia="仿宋" w:cs="宋体"/>
          <w:sz w:val="32"/>
          <w:szCs w:val="32"/>
        </w:rPr>
      </w:pPr>
      <w:r>
        <w:rPr>
          <w:rFonts w:hint="eastAsia" w:ascii="仿宋" w:hAnsi="仿宋" w:eastAsia="仿宋" w:cs="宋体"/>
          <w:sz w:val="32"/>
          <w:szCs w:val="32"/>
        </w:rPr>
        <w:t>(八）负责指导和服务企业改革与发展；牵头拟订促进中小企业发展的政策措施；负责建立和完善中小企业服务体系；引导和支持企业提升经营管理水平；负责指导和服务全市乡镇企业的有关工作。</w:t>
      </w:r>
    </w:p>
    <w:p w14:paraId="2948D764">
      <w:pPr>
        <w:pStyle w:val="2"/>
        <w:shd w:val="clear" w:color="auto" w:fill="auto"/>
        <w:snapToGrid w:val="0"/>
        <w:spacing w:before="0" w:after="0" w:line="520" w:lineRule="atLeast"/>
        <w:ind w:left="20" w:right="20" w:firstLine="640"/>
        <w:jc w:val="both"/>
        <w:rPr>
          <w:rFonts w:ascii="仿宋" w:hAnsi="仿宋" w:eastAsia="仿宋" w:cs="宋体"/>
          <w:sz w:val="32"/>
          <w:szCs w:val="32"/>
        </w:rPr>
      </w:pPr>
      <w:r>
        <w:rPr>
          <w:rFonts w:hint="eastAsia" w:ascii="仿宋" w:hAnsi="仿宋" w:eastAsia="仿宋" w:cs="宋体"/>
          <w:sz w:val="32"/>
          <w:szCs w:val="32"/>
        </w:rPr>
        <w:t>(九）负责牵头协调推进战略性新兴产业发展；负责拟订并组织实施企业技术创新的政策措施；指导引进重大技术装备的消化创新；承担指导协调企业技术创新公共服务平台建设有关工作；指导和推动产学研联合，组织实施重大产业示范工程。</w:t>
      </w:r>
    </w:p>
    <w:p w14:paraId="5BA0E29E">
      <w:pPr>
        <w:pStyle w:val="2"/>
        <w:shd w:val="clear" w:color="auto" w:fill="auto"/>
        <w:snapToGrid w:val="0"/>
        <w:spacing w:before="0" w:after="0" w:line="520" w:lineRule="atLeast"/>
        <w:ind w:left="20" w:right="20" w:firstLine="640"/>
        <w:jc w:val="both"/>
        <w:rPr>
          <w:rFonts w:ascii="仿宋" w:hAnsi="仿宋" w:eastAsia="仿宋" w:cs="宋体"/>
          <w:sz w:val="32"/>
          <w:szCs w:val="32"/>
        </w:rPr>
      </w:pPr>
      <w:r>
        <w:rPr>
          <w:rFonts w:hint="eastAsia" w:ascii="仿宋" w:hAnsi="仿宋" w:eastAsia="仿宋" w:cs="宋体"/>
          <w:sz w:val="32"/>
          <w:szCs w:val="32"/>
        </w:rPr>
        <w:t>(十）负责协调、指导生产性服务业发展，研究提出相关政策措施，推进制造业和服务业融合发展；统筹规划、指导现代物流、工业设计等生产性服务业发展；指导、推进科技服务、售后服务、服务外包等工作。</w:t>
      </w:r>
    </w:p>
    <w:p w14:paraId="2D1FFA40">
      <w:pPr>
        <w:pStyle w:val="2"/>
        <w:shd w:val="clear" w:color="auto" w:fill="auto"/>
        <w:snapToGrid w:val="0"/>
        <w:spacing w:before="0" w:after="0" w:line="520" w:lineRule="atLeast"/>
        <w:ind w:left="20" w:right="20" w:firstLine="640"/>
        <w:jc w:val="both"/>
        <w:rPr>
          <w:rFonts w:ascii="仿宋" w:hAnsi="仿宋" w:eastAsia="仿宋" w:cs="宋体"/>
          <w:sz w:val="32"/>
          <w:szCs w:val="32"/>
        </w:rPr>
      </w:pPr>
      <w:r>
        <w:rPr>
          <w:rFonts w:hint="eastAsia" w:ascii="仿宋" w:hAnsi="仿宋" w:eastAsia="仿宋" w:cs="宋体"/>
          <w:sz w:val="32"/>
          <w:szCs w:val="32"/>
        </w:rPr>
        <w:t>(十一）统筹推进全市信息化工作；组织拟订相关政策并协调信息化建设中的重大问题，指导协调电子政务发展；统筹、规划、协调工业化和信息化深度融合工作；依法承担信息系统工程建设市场的监督管理；负责协调推进信息消费工作；负责协调全市信息安全保障体系建设。</w:t>
      </w:r>
    </w:p>
    <w:p w14:paraId="5F11005D">
      <w:pPr>
        <w:pStyle w:val="2"/>
        <w:shd w:val="clear" w:color="auto" w:fill="auto"/>
        <w:snapToGrid w:val="0"/>
        <w:spacing w:before="0" w:after="0" w:line="520" w:lineRule="atLeast"/>
        <w:ind w:left="20" w:right="20" w:firstLine="640"/>
        <w:jc w:val="both"/>
        <w:rPr>
          <w:rFonts w:ascii="仿宋" w:hAnsi="仿宋" w:eastAsia="仿宋" w:cs="宋体"/>
          <w:sz w:val="32"/>
          <w:szCs w:val="32"/>
        </w:rPr>
      </w:pPr>
      <w:r>
        <w:rPr>
          <w:rFonts w:hint="eastAsia" w:ascii="仿宋" w:hAnsi="仿宋" w:eastAsia="仿宋" w:cs="宋体"/>
          <w:sz w:val="32"/>
          <w:szCs w:val="32"/>
        </w:rPr>
        <w:t>(十二）负责指导和组织工业和信息化企业开拓国内外市场，拟订工贸结合的政策，开展工业和信息化产品市场分析调研。</w:t>
      </w:r>
    </w:p>
    <w:p w14:paraId="72198AB7">
      <w:pPr>
        <w:pStyle w:val="2"/>
        <w:shd w:val="clear" w:color="auto" w:fill="auto"/>
        <w:snapToGrid w:val="0"/>
        <w:spacing w:before="0" w:after="0" w:line="520" w:lineRule="atLeast"/>
        <w:ind w:left="20" w:right="20" w:firstLine="640"/>
        <w:jc w:val="both"/>
        <w:rPr>
          <w:rFonts w:ascii="仿宋" w:hAnsi="仿宋" w:eastAsia="仿宋" w:cs="宋体"/>
          <w:sz w:val="32"/>
          <w:szCs w:val="32"/>
        </w:rPr>
      </w:pPr>
      <w:r>
        <w:rPr>
          <w:rFonts w:hint="eastAsia" w:ascii="仿宋" w:hAnsi="仿宋" w:eastAsia="仿宋" w:cs="宋体"/>
          <w:sz w:val="32"/>
          <w:szCs w:val="32"/>
        </w:rPr>
        <w:t>(十三）负责制定全市国内合作交流工作规划，指导、组织开展市际间的经济技术协作活动；指导协调市际、区域、企业的经济技术协作；联系外省市政府驻厦办事机构；承担市对口支援和区域经济合作工作。</w:t>
      </w:r>
    </w:p>
    <w:p w14:paraId="2D0C0CA8">
      <w:pPr>
        <w:widowControl/>
        <w:spacing w:before="100" w:beforeAutospacing="1" w:after="100" w:afterAutospacing="1" w:line="600" w:lineRule="exac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(十四）承办市委、市政府交办的其他事项。</w:t>
      </w:r>
    </w:p>
    <w:p w14:paraId="0E31D046">
      <w:pPr>
        <w:widowControl/>
        <w:spacing w:before="100" w:beforeAutospacing="1" w:after="100" w:afterAutospacing="1" w:line="600" w:lineRule="exact"/>
        <w:ind w:firstLine="640" w:firstLineChars="200"/>
        <w:jc w:val="left"/>
        <w:rPr>
          <w:rFonts w:ascii="宋体" w:hAnsi="宋体" w:eastAsia="宋体" w:cs="宋体"/>
          <w:kern w:val="0"/>
          <w:sz w:val="24"/>
          <w:szCs w:val="24"/>
        </w:rPr>
      </w:pPr>
      <w:r>
        <w:rPr>
          <w:rFonts w:hint="eastAsia" w:ascii="黑体" w:hAnsi="宋体" w:eastAsia="黑体" w:cs="宋体"/>
          <w:kern w:val="0"/>
          <w:sz w:val="32"/>
          <w:szCs w:val="32"/>
        </w:rPr>
        <w:t>二、部门决算单位基本情况</w:t>
      </w:r>
    </w:p>
    <w:p w14:paraId="0BD06F6F">
      <w:pPr>
        <w:widowControl/>
        <w:tabs>
          <w:tab w:val="left" w:pos="7513"/>
        </w:tabs>
        <w:adjustRightInd w:val="0"/>
        <w:snapToGrid w:val="0"/>
        <w:spacing w:before="100" w:beforeAutospacing="1" w:after="100" w:afterAutospacing="1" w:line="600" w:lineRule="exact"/>
        <w:ind w:firstLine="640" w:firstLineChars="200"/>
        <w:jc w:val="left"/>
        <w:rPr>
          <w:rFonts w:ascii="仿宋" w:hAnsi="仿宋" w:eastAsia="仿宋" w:cs="宋体"/>
          <w:kern w:val="0"/>
          <w:sz w:val="24"/>
          <w:szCs w:val="24"/>
        </w:rPr>
      </w:pPr>
      <w:r>
        <w:rPr>
          <w:rFonts w:hint="eastAsia" w:ascii="仿宋" w:hAnsi="仿宋" w:eastAsia="仿宋" w:cs="仿宋_GB2312"/>
          <w:kern w:val="0"/>
          <w:sz w:val="32"/>
          <w:szCs w:val="32"/>
        </w:rPr>
        <w:t>从决算单位构成看，</w:t>
      </w:r>
      <w:r>
        <w:rPr>
          <w:rFonts w:hint="eastAsia" w:ascii="仿宋" w:hAnsi="仿宋" w:eastAsia="仿宋" w:cs="宋体"/>
          <w:kern w:val="0"/>
          <w:sz w:val="32"/>
          <w:szCs w:val="32"/>
        </w:rPr>
        <w:t>厦门市经济和信息化局部门包括</w:t>
      </w:r>
      <w:r>
        <w:rPr>
          <w:rFonts w:hint="eastAsia" w:ascii="仿宋" w:hAnsi="仿宋" w:eastAsia="仿宋" w:cs="仿宋_GB2312"/>
          <w:kern w:val="0"/>
          <w:sz w:val="32"/>
          <w:szCs w:val="32"/>
        </w:rPr>
        <w:t>20</w:t>
      </w:r>
      <w:r>
        <w:rPr>
          <w:rFonts w:hint="eastAsia" w:ascii="仿宋" w:hAnsi="仿宋" w:eastAsia="仿宋" w:cs="宋体"/>
          <w:kern w:val="0"/>
          <w:sz w:val="32"/>
          <w:szCs w:val="32"/>
        </w:rPr>
        <w:t>个机关行政处（科）室及</w:t>
      </w:r>
      <w:r>
        <w:rPr>
          <w:rFonts w:hint="eastAsia" w:ascii="仿宋" w:hAnsi="仿宋" w:eastAsia="仿宋" w:cs="仿宋_GB2312"/>
          <w:kern w:val="0"/>
          <w:sz w:val="32"/>
          <w:szCs w:val="32"/>
        </w:rPr>
        <w:t>4</w:t>
      </w:r>
      <w:r>
        <w:rPr>
          <w:rFonts w:hint="eastAsia" w:ascii="仿宋" w:hAnsi="仿宋" w:eastAsia="仿宋" w:cs="宋体"/>
          <w:kern w:val="0"/>
          <w:sz w:val="32"/>
          <w:szCs w:val="32"/>
        </w:rPr>
        <w:t>个下属单位，其中：列入</w:t>
      </w:r>
      <w:r>
        <w:rPr>
          <w:rFonts w:hint="eastAsia" w:ascii="仿宋" w:hAnsi="仿宋" w:eastAsia="仿宋" w:cs="仿宋_GB2312"/>
          <w:kern w:val="0"/>
          <w:sz w:val="32"/>
          <w:szCs w:val="32"/>
        </w:rPr>
        <w:t>2017</w:t>
      </w:r>
      <w:r>
        <w:rPr>
          <w:rFonts w:hint="eastAsia" w:ascii="仿宋" w:hAnsi="仿宋" w:eastAsia="仿宋" w:cs="宋体"/>
          <w:kern w:val="0"/>
          <w:sz w:val="32"/>
          <w:szCs w:val="32"/>
        </w:rPr>
        <w:t>年部门决算编制范围的单位详细情况见下表:</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98"/>
        <w:gridCol w:w="1474"/>
        <w:gridCol w:w="1677"/>
        <w:gridCol w:w="1473"/>
      </w:tblGrid>
      <w:tr w14:paraId="1601D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4252" w:type="dxa"/>
            <w:tcBorders>
              <w:top w:val="single" w:color="auto" w:sz="4" w:space="0"/>
              <w:left w:val="single" w:color="auto" w:sz="4" w:space="0"/>
              <w:bottom w:val="single" w:color="auto" w:sz="4" w:space="0"/>
              <w:right w:val="single" w:color="auto" w:sz="4" w:space="0"/>
            </w:tcBorders>
            <w:vAlign w:val="center"/>
          </w:tcPr>
          <w:p w14:paraId="1E00FB83">
            <w:pPr>
              <w:spacing w:before="100" w:beforeAutospacing="1" w:after="100" w:afterAutospacing="1" w:line="520" w:lineRule="atLeast"/>
              <w:jc w:val="center"/>
              <w:rPr>
                <w:rFonts w:ascii="仿宋" w:hAnsi="仿宋" w:eastAsia="仿宋" w:cs="仿宋_GB2312"/>
                <w:b/>
                <w:sz w:val="28"/>
                <w:szCs w:val="28"/>
              </w:rPr>
            </w:pPr>
            <w:r>
              <w:rPr>
                <w:rFonts w:hint="eastAsia" w:ascii="仿宋" w:hAnsi="仿宋" w:eastAsia="仿宋" w:cs="仿宋_GB2312"/>
                <w:b/>
                <w:sz w:val="28"/>
                <w:szCs w:val="28"/>
              </w:rPr>
              <w:t>单位名称</w:t>
            </w:r>
          </w:p>
        </w:tc>
        <w:tc>
          <w:tcPr>
            <w:tcW w:w="1576" w:type="dxa"/>
            <w:tcBorders>
              <w:top w:val="single" w:color="auto" w:sz="4" w:space="0"/>
              <w:left w:val="single" w:color="auto" w:sz="4" w:space="0"/>
              <w:bottom w:val="single" w:color="auto" w:sz="4" w:space="0"/>
              <w:right w:val="single" w:color="auto" w:sz="4" w:space="0"/>
            </w:tcBorders>
            <w:vAlign w:val="center"/>
          </w:tcPr>
          <w:p w14:paraId="3AC6CB0D">
            <w:pPr>
              <w:spacing w:before="100" w:beforeAutospacing="1" w:after="100" w:afterAutospacing="1" w:line="520" w:lineRule="atLeast"/>
              <w:jc w:val="center"/>
              <w:rPr>
                <w:rFonts w:ascii="仿宋" w:hAnsi="仿宋" w:eastAsia="仿宋" w:cs="仿宋_GB2312"/>
                <w:b/>
                <w:sz w:val="28"/>
                <w:szCs w:val="28"/>
              </w:rPr>
            </w:pPr>
            <w:r>
              <w:rPr>
                <w:rFonts w:hint="eastAsia" w:ascii="仿宋" w:hAnsi="仿宋" w:eastAsia="仿宋" w:cs="仿宋_GB2312"/>
                <w:b/>
                <w:sz w:val="28"/>
                <w:szCs w:val="28"/>
              </w:rPr>
              <w:t>经费性质</w:t>
            </w:r>
          </w:p>
        </w:tc>
        <w:tc>
          <w:tcPr>
            <w:tcW w:w="1800" w:type="dxa"/>
            <w:tcBorders>
              <w:top w:val="single" w:color="auto" w:sz="4" w:space="0"/>
              <w:left w:val="single" w:color="auto" w:sz="4" w:space="0"/>
              <w:bottom w:val="single" w:color="auto" w:sz="4" w:space="0"/>
              <w:right w:val="single" w:color="auto" w:sz="4" w:space="0"/>
            </w:tcBorders>
            <w:vAlign w:val="center"/>
          </w:tcPr>
          <w:p w14:paraId="0D946D34">
            <w:pPr>
              <w:spacing w:before="100" w:beforeAutospacing="1" w:after="100" w:afterAutospacing="1" w:line="520" w:lineRule="atLeast"/>
              <w:jc w:val="center"/>
              <w:rPr>
                <w:rFonts w:ascii="仿宋" w:hAnsi="仿宋" w:eastAsia="仿宋" w:cs="仿宋_GB2312"/>
                <w:b/>
                <w:sz w:val="28"/>
                <w:szCs w:val="28"/>
              </w:rPr>
            </w:pPr>
            <w:r>
              <w:rPr>
                <w:rFonts w:hint="eastAsia" w:ascii="仿宋" w:hAnsi="仿宋" w:eastAsia="仿宋" w:cs="仿宋_GB2312"/>
                <w:b/>
                <w:sz w:val="28"/>
                <w:szCs w:val="28"/>
              </w:rPr>
              <w:t>人员编制数</w:t>
            </w:r>
          </w:p>
        </w:tc>
        <w:tc>
          <w:tcPr>
            <w:tcW w:w="1574" w:type="dxa"/>
            <w:tcBorders>
              <w:top w:val="single" w:color="auto" w:sz="4" w:space="0"/>
              <w:left w:val="single" w:color="auto" w:sz="4" w:space="0"/>
              <w:bottom w:val="single" w:color="auto" w:sz="4" w:space="0"/>
              <w:right w:val="single" w:color="auto" w:sz="4" w:space="0"/>
            </w:tcBorders>
            <w:vAlign w:val="center"/>
          </w:tcPr>
          <w:p w14:paraId="27646C58">
            <w:pPr>
              <w:spacing w:before="100" w:beforeAutospacing="1" w:after="100" w:afterAutospacing="1" w:line="520" w:lineRule="atLeast"/>
              <w:jc w:val="center"/>
              <w:rPr>
                <w:rFonts w:ascii="仿宋" w:hAnsi="仿宋" w:eastAsia="仿宋" w:cs="仿宋_GB2312"/>
                <w:b/>
                <w:sz w:val="28"/>
                <w:szCs w:val="28"/>
              </w:rPr>
            </w:pPr>
            <w:r>
              <w:rPr>
                <w:rFonts w:hint="eastAsia" w:ascii="仿宋" w:hAnsi="仿宋" w:eastAsia="仿宋" w:cs="仿宋_GB2312"/>
                <w:b/>
                <w:sz w:val="28"/>
                <w:szCs w:val="28"/>
              </w:rPr>
              <w:t>在职人数</w:t>
            </w:r>
          </w:p>
        </w:tc>
      </w:tr>
      <w:tr w14:paraId="0B421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2" w:type="dxa"/>
            <w:tcBorders>
              <w:top w:val="single" w:color="auto" w:sz="4" w:space="0"/>
              <w:left w:val="single" w:color="auto" w:sz="4" w:space="0"/>
              <w:bottom w:val="single" w:color="auto" w:sz="4" w:space="0"/>
              <w:right w:val="single" w:color="auto" w:sz="4" w:space="0"/>
            </w:tcBorders>
          </w:tcPr>
          <w:p w14:paraId="4B23FEF0">
            <w:pPr>
              <w:tabs>
                <w:tab w:val="left" w:pos="7513"/>
              </w:tabs>
              <w:adjustRightInd w:val="0"/>
              <w:snapToGrid w:val="0"/>
              <w:spacing w:line="520" w:lineRule="atLeast"/>
              <w:rPr>
                <w:rFonts w:ascii="仿宋" w:hAnsi="仿宋" w:eastAsia="仿宋" w:cs="宋体"/>
                <w:sz w:val="28"/>
                <w:szCs w:val="28"/>
              </w:rPr>
            </w:pPr>
            <w:r>
              <w:rPr>
                <w:rFonts w:hint="eastAsia" w:ascii="仿宋" w:hAnsi="仿宋" w:eastAsia="仿宋"/>
                <w:sz w:val="28"/>
                <w:szCs w:val="28"/>
              </w:rPr>
              <w:t>厦门市经济和信息化局</w:t>
            </w:r>
          </w:p>
        </w:tc>
        <w:tc>
          <w:tcPr>
            <w:tcW w:w="1576" w:type="dxa"/>
            <w:tcBorders>
              <w:top w:val="single" w:color="auto" w:sz="4" w:space="0"/>
              <w:left w:val="single" w:color="auto" w:sz="4" w:space="0"/>
              <w:bottom w:val="single" w:color="auto" w:sz="4" w:space="0"/>
              <w:right w:val="single" w:color="auto" w:sz="4" w:space="0"/>
            </w:tcBorders>
          </w:tcPr>
          <w:p w14:paraId="1C2C4A55">
            <w:pPr>
              <w:tabs>
                <w:tab w:val="left" w:pos="7513"/>
              </w:tabs>
              <w:adjustRightInd w:val="0"/>
              <w:snapToGrid w:val="0"/>
              <w:spacing w:line="520" w:lineRule="atLeast"/>
              <w:jc w:val="center"/>
              <w:rPr>
                <w:rFonts w:ascii="仿宋" w:hAnsi="仿宋" w:eastAsia="仿宋" w:cs="宋体"/>
                <w:sz w:val="28"/>
                <w:szCs w:val="28"/>
              </w:rPr>
            </w:pPr>
            <w:r>
              <w:rPr>
                <w:rFonts w:hint="eastAsia" w:ascii="仿宋" w:hAnsi="仿宋" w:eastAsia="仿宋"/>
                <w:sz w:val="28"/>
                <w:szCs w:val="28"/>
              </w:rPr>
              <w:t>机关</w:t>
            </w:r>
          </w:p>
        </w:tc>
        <w:tc>
          <w:tcPr>
            <w:tcW w:w="1800" w:type="dxa"/>
            <w:tcBorders>
              <w:top w:val="single" w:color="auto" w:sz="4" w:space="0"/>
              <w:left w:val="single" w:color="auto" w:sz="4" w:space="0"/>
              <w:bottom w:val="single" w:color="auto" w:sz="4" w:space="0"/>
              <w:right w:val="single" w:color="auto" w:sz="4" w:space="0"/>
            </w:tcBorders>
          </w:tcPr>
          <w:p w14:paraId="591D92D1">
            <w:pPr>
              <w:tabs>
                <w:tab w:val="left" w:pos="7513"/>
              </w:tabs>
              <w:adjustRightInd w:val="0"/>
              <w:snapToGrid w:val="0"/>
              <w:spacing w:line="520" w:lineRule="atLeast"/>
              <w:jc w:val="center"/>
              <w:rPr>
                <w:rFonts w:ascii="仿宋" w:hAnsi="仿宋" w:eastAsia="仿宋" w:cs="宋体"/>
                <w:sz w:val="28"/>
                <w:szCs w:val="28"/>
              </w:rPr>
            </w:pPr>
            <w:r>
              <w:rPr>
                <w:rFonts w:hint="eastAsia" w:ascii="仿宋" w:hAnsi="仿宋" w:eastAsia="仿宋" w:cs="宋体"/>
                <w:sz w:val="28"/>
                <w:szCs w:val="28"/>
              </w:rPr>
              <w:t>73</w:t>
            </w:r>
          </w:p>
        </w:tc>
        <w:tc>
          <w:tcPr>
            <w:tcW w:w="1574" w:type="dxa"/>
            <w:tcBorders>
              <w:top w:val="single" w:color="auto" w:sz="4" w:space="0"/>
              <w:left w:val="single" w:color="auto" w:sz="4" w:space="0"/>
              <w:bottom w:val="single" w:color="auto" w:sz="4" w:space="0"/>
              <w:right w:val="single" w:color="auto" w:sz="4" w:space="0"/>
            </w:tcBorders>
          </w:tcPr>
          <w:p w14:paraId="23563997">
            <w:pPr>
              <w:tabs>
                <w:tab w:val="left" w:pos="7513"/>
              </w:tabs>
              <w:adjustRightInd w:val="0"/>
              <w:snapToGrid w:val="0"/>
              <w:spacing w:line="520" w:lineRule="atLeast"/>
              <w:jc w:val="center"/>
              <w:rPr>
                <w:rFonts w:ascii="仿宋" w:hAnsi="仿宋" w:eastAsia="仿宋" w:cs="宋体"/>
                <w:sz w:val="28"/>
                <w:szCs w:val="28"/>
              </w:rPr>
            </w:pPr>
            <w:r>
              <w:rPr>
                <w:rFonts w:hint="eastAsia" w:ascii="仿宋" w:hAnsi="仿宋" w:eastAsia="仿宋" w:cs="宋体"/>
                <w:sz w:val="28"/>
                <w:szCs w:val="28"/>
              </w:rPr>
              <w:t>72</w:t>
            </w:r>
          </w:p>
        </w:tc>
      </w:tr>
      <w:tr w14:paraId="3EF4A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2" w:type="dxa"/>
            <w:tcBorders>
              <w:top w:val="single" w:color="auto" w:sz="4" w:space="0"/>
              <w:left w:val="single" w:color="auto" w:sz="4" w:space="0"/>
              <w:bottom w:val="single" w:color="auto" w:sz="4" w:space="0"/>
              <w:right w:val="single" w:color="auto" w:sz="4" w:space="0"/>
            </w:tcBorders>
          </w:tcPr>
          <w:p w14:paraId="1AE511E4">
            <w:pPr>
              <w:tabs>
                <w:tab w:val="left" w:pos="7513"/>
              </w:tabs>
              <w:adjustRightInd w:val="0"/>
              <w:snapToGrid w:val="0"/>
              <w:spacing w:line="520" w:lineRule="atLeast"/>
              <w:rPr>
                <w:rFonts w:ascii="仿宋" w:hAnsi="仿宋" w:eastAsia="仿宋" w:cs="宋体"/>
                <w:sz w:val="28"/>
                <w:szCs w:val="28"/>
              </w:rPr>
            </w:pPr>
            <w:r>
              <w:rPr>
                <w:rFonts w:hint="eastAsia" w:ascii="仿宋" w:hAnsi="仿宋" w:eastAsia="仿宋"/>
                <w:sz w:val="28"/>
                <w:szCs w:val="28"/>
              </w:rPr>
              <w:t>厦门市散装水泥办公室</w:t>
            </w:r>
          </w:p>
        </w:tc>
        <w:tc>
          <w:tcPr>
            <w:tcW w:w="1576" w:type="dxa"/>
            <w:tcBorders>
              <w:top w:val="single" w:color="auto" w:sz="4" w:space="0"/>
              <w:left w:val="single" w:color="auto" w:sz="4" w:space="0"/>
              <w:bottom w:val="single" w:color="auto" w:sz="4" w:space="0"/>
              <w:right w:val="single" w:color="auto" w:sz="4" w:space="0"/>
            </w:tcBorders>
          </w:tcPr>
          <w:p w14:paraId="432C0039">
            <w:pPr>
              <w:tabs>
                <w:tab w:val="left" w:pos="7513"/>
              </w:tabs>
              <w:adjustRightInd w:val="0"/>
              <w:snapToGrid w:val="0"/>
              <w:spacing w:line="520" w:lineRule="atLeast"/>
              <w:jc w:val="center"/>
              <w:rPr>
                <w:rFonts w:ascii="仿宋" w:hAnsi="仿宋" w:eastAsia="仿宋" w:cs="宋体"/>
                <w:sz w:val="28"/>
                <w:szCs w:val="28"/>
              </w:rPr>
            </w:pPr>
            <w:r>
              <w:rPr>
                <w:rFonts w:hint="eastAsia" w:ascii="仿宋" w:hAnsi="仿宋" w:eastAsia="仿宋"/>
                <w:sz w:val="28"/>
                <w:szCs w:val="28"/>
              </w:rPr>
              <w:t>事业</w:t>
            </w:r>
          </w:p>
        </w:tc>
        <w:tc>
          <w:tcPr>
            <w:tcW w:w="1800" w:type="dxa"/>
            <w:tcBorders>
              <w:top w:val="single" w:color="auto" w:sz="4" w:space="0"/>
              <w:left w:val="single" w:color="auto" w:sz="4" w:space="0"/>
              <w:bottom w:val="single" w:color="auto" w:sz="4" w:space="0"/>
              <w:right w:val="single" w:color="auto" w:sz="4" w:space="0"/>
            </w:tcBorders>
          </w:tcPr>
          <w:p w14:paraId="79CC6FD2">
            <w:pPr>
              <w:tabs>
                <w:tab w:val="left" w:pos="7513"/>
              </w:tabs>
              <w:adjustRightInd w:val="0"/>
              <w:snapToGrid w:val="0"/>
              <w:spacing w:line="520" w:lineRule="atLeast"/>
              <w:jc w:val="center"/>
              <w:rPr>
                <w:rFonts w:ascii="仿宋" w:hAnsi="仿宋" w:eastAsia="仿宋" w:cs="宋体"/>
                <w:sz w:val="28"/>
                <w:szCs w:val="28"/>
              </w:rPr>
            </w:pPr>
            <w:r>
              <w:rPr>
                <w:rFonts w:hint="eastAsia" w:ascii="仿宋" w:hAnsi="仿宋" w:eastAsia="仿宋" w:cs="宋体"/>
                <w:sz w:val="28"/>
                <w:szCs w:val="28"/>
              </w:rPr>
              <w:t>5</w:t>
            </w:r>
          </w:p>
        </w:tc>
        <w:tc>
          <w:tcPr>
            <w:tcW w:w="1574" w:type="dxa"/>
            <w:tcBorders>
              <w:top w:val="single" w:color="auto" w:sz="4" w:space="0"/>
              <w:left w:val="single" w:color="auto" w:sz="4" w:space="0"/>
              <w:bottom w:val="single" w:color="auto" w:sz="4" w:space="0"/>
              <w:right w:val="single" w:color="auto" w:sz="4" w:space="0"/>
            </w:tcBorders>
          </w:tcPr>
          <w:p w14:paraId="2D2D9626">
            <w:pPr>
              <w:tabs>
                <w:tab w:val="left" w:pos="7513"/>
              </w:tabs>
              <w:adjustRightInd w:val="0"/>
              <w:snapToGrid w:val="0"/>
              <w:spacing w:line="520" w:lineRule="atLeast"/>
              <w:jc w:val="center"/>
              <w:rPr>
                <w:rFonts w:ascii="仿宋" w:hAnsi="仿宋" w:eastAsia="仿宋" w:cs="宋体"/>
                <w:sz w:val="28"/>
                <w:szCs w:val="28"/>
              </w:rPr>
            </w:pPr>
            <w:r>
              <w:rPr>
                <w:rFonts w:hint="eastAsia" w:ascii="仿宋" w:hAnsi="仿宋" w:eastAsia="仿宋" w:cs="宋体"/>
                <w:sz w:val="28"/>
                <w:szCs w:val="28"/>
              </w:rPr>
              <w:t>5</w:t>
            </w:r>
          </w:p>
        </w:tc>
      </w:tr>
      <w:tr w14:paraId="473A3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2" w:type="dxa"/>
            <w:tcBorders>
              <w:top w:val="single" w:color="auto" w:sz="4" w:space="0"/>
              <w:left w:val="single" w:color="auto" w:sz="4" w:space="0"/>
              <w:bottom w:val="single" w:color="auto" w:sz="4" w:space="0"/>
              <w:right w:val="single" w:color="auto" w:sz="4" w:space="0"/>
            </w:tcBorders>
          </w:tcPr>
          <w:p w14:paraId="6CB6511B">
            <w:pPr>
              <w:tabs>
                <w:tab w:val="left" w:pos="7513"/>
              </w:tabs>
              <w:adjustRightInd w:val="0"/>
              <w:snapToGrid w:val="0"/>
              <w:spacing w:line="520" w:lineRule="atLeast"/>
              <w:rPr>
                <w:rFonts w:ascii="仿宋" w:hAnsi="仿宋" w:eastAsia="仿宋" w:cs="宋体"/>
                <w:sz w:val="28"/>
                <w:szCs w:val="28"/>
              </w:rPr>
            </w:pPr>
            <w:r>
              <w:rPr>
                <w:rFonts w:hint="eastAsia" w:ascii="仿宋" w:hAnsi="仿宋" w:eastAsia="仿宋"/>
                <w:sz w:val="28"/>
                <w:szCs w:val="28"/>
              </w:rPr>
              <w:t>厦门市中小企业服务中心</w:t>
            </w:r>
          </w:p>
        </w:tc>
        <w:tc>
          <w:tcPr>
            <w:tcW w:w="1576" w:type="dxa"/>
            <w:tcBorders>
              <w:top w:val="single" w:color="auto" w:sz="4" w:space="0"/>
              <w:left w:val="single" w:color="auto" w:sz="4" w:space="0"/>
              <w:bottom w:val="single" w:color="auto" w:sz="4" w:space="0"/>
              <w:right w:val="single" w:color="auto" w:sz="4" w:space="0"/>
            </w:tcBorders>
          </w:tcPr>
          <w:p w14:paraId="69A23D4C">
            <w:pPr>
              <w:tabs>
                <w:tab w:val="left" w:pos="7513"/>
              </w:tabs>
              <w:adjustRightInd w:val="0"/>
              <w:snapToGrid w:val="0"/>
              <w:spacing w:line="520" w:lineRule="atLeast"/>
              <w:jc w:val="center"/>
              <w:rPr>
                <w:rFonts w:ascii="仿宋" w:hAnsi="仿宋" w:eastAsia="仿宋" w:cs="宋体"/>
                <w:sz w:val="28"/>
                <w:szCs w:val="28"/>
              </w:rPr>
            </w:pPr>
            <w:r>
              <w:rPr>
                <w:rFonts w:hint="eastAsia" w:ascii="仿宋" w:hAnsi="仿宋" w:eastAsia="仿宋"/>
                <w:sz w:val="28"/>
                <w:szCs w:val="28"/>
              </w:rPr>
              <w:t>事业</w:t>
            </w:r>
          </w:p>
        </w:tc>
        <w:tc>
          <w:tcPr>
            <w:tcW w:w="1800" w:type="dxa"/>
            <w:tcBorders>
              <w:top w:val="single" w:color="auto" w:sz="4" w:space="0"/>
              <w:left w:val="single" w:color="auto" w:sz="4" w:space="0"/>
              <w:bottom w:val="single" w:color="auto" w:sz="4" w:space="0"/>
              <w:right w:val="single" w:color="auto" w:sz="4" w:space="0"/>
            </w:tcBorders>
          </w:tcPr>
          <w:p w14:paraId="32B4C60B">
            <w:pPr>
              <w:tabs>
                <w:tab w:val="left" w:pos="7513"/>
              </w:tabs>
              <w:adjustRightInd w:val="0"/>
              <w:snapToGrid w:val="0"/>
              <w:spacing w:line="520" w:lineRule="atLeast"/>
              <w:jc w:val="center"/>
              <w:rPr>
                <w:rFonts w:ascii="仿宋" w:hAnsi="仿宋" w:eastAsia="仿宋" w:cs="宋体"/>
                <w:sz w:val="28"/>
                <w:szCs w:val="28"/>
              </w:rPr>
            </w:pPr>
            <w:r>
              <w:rPr>
                <w:rFonts w:hint="eastAsia" w:ascii="仿宋" w:hAnsi="仿宋" w:eastAsia="仿宋" w:cs="宋体"/>
                <w:sz w:val="28"/>
                <w:szCs w:val="28"/>
              </w:rPr>
              <w:t>15</w:t>
            </w:r>
          </w:p>
        </w:tc>
        <w:tc>
          <w:tcPr>
            <w:tcW w:w="1574" w:type="dxa"/>
            <w:tcBorders>
              <w:top w:val="single" w:color="auto" w:sz="4" w:space="0"/>
              <w:left w:val="single" w:color="auto" w:sz="4" w:space="0"/>
              <w:bottom w:val="single" w:color="auto" w:sz="4" w:space="0"/>
              <w:right w:val="single" w:color="auto" w:sz="4" w:space="0"/>
            </w:tcBorders>
          </w:tcPr>
          <w:p w14:paraId="54E4C8BC">
            <w:pPr>
              <w:tabs>
                <w:tab w:val="left" w:pos="7513"/>
              </w:tabs>
              <w:adjustRightInd w:val="0"/>
              <w:snapToGrid w:val="0"/>
              <w:spacing w:line="520" w:lineRule="atLeast"/>
              <w:jc w:val="center"/>
              <w:rPr>
                <w:rFonts w:ascii="仿宋" w:hAnsi="仿宋" w:eastAsia="仿宋" w:cs="宋体"/>
                <w:sz w:val="28"/>
                <w:szCs w:val="28"/>
              </w:rPr>
            </w:pPr>
            <w:r>
              <w:rPr>
                <w:rFonts w:hint="eastAsia" w:ascii="仿宋" w:hAnsi="仿宋" w:eastAsia="仿宋" w:cs="宋体"/>
                <w:sz w:val="28"/>
                <w:szCs w:val="28"/>
              </w:rPr>
              <w:t>14</w:t>
            </w:r>
          </w:p>
        </w:tc>
      </w:tr>
      <w:tr w14:paraId="502CB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2" w:type="dxa"/>
            <w:tcBorders>
              <w:top w:val="single" w:color="auto" w:sz="4" w:space="0"/>
              <w:left w:val="single" w:color="auto" w:sz="4" w:space="0"/>
              <w:bottom w:val="single" w:color="auto" w:sz="4" w:space="0"/>
              <w:right w:val="single" w:color="auto" w:sz="4" w:space="0"/>
            </w:tcBorders>
          </w:tcPr>
          <w:p w14:paraId="077E69B2">
            <w:pPr>
              <w:tabs>
                <w:tab w:val="left" w:pos="7513"/>
              </w:tabs>
              <w:adjustRightInd w:val="0"/>
              <w:snapToGrid w:val="0"/>
              <w:spacing w:line="520" w:lineRule="atLeast"/>
              <w:rPr>
                <w:rFonts w:ascii="仿宋" w:hAnsi="仿宋" w:eastAsia="仿宋" w:cs="宋体"/>
                <w:sz w:val="28"/>
                <w:szCs w:val="28"/>
              </w:rPr>
            </w:pPr>
            <w:r>
              <w:rPr>
                <w:rFonts w:hint="eastAsia" w:ascii="仿宋" w:hAnsi="仿宋" w:eastAsia="仿宋"/>
                <w:sz w:val="28"/>
                <w:szCs w:val="28"/>
              </w:rPr>
              <w:t>厦门市节能监察中心</w:t>
            </w:r>
          </w:p>
        </w:tc>
        <w:tc>
          <w:tcPr>
            <w:tcW w:w="1576" w:type="dxa"/>
            <w:tcBorders>
              <w:top w:val="single" w:color="auto" w:sz="4" w:space="0"/>
              <w:left w:val="single" w:color="auto" w:sz="4" w:space="0"/>
              <w:bottom w:val="single" w:color="auto" w:sz="4" w:space="0"/>
              <w:right w:val="single" w:color="auto" w:sz="4" w:space="0"/>
            </w:tcBorders>
          </w:tcPr>
          <w:p w14:paraId="5DE0E0E0">
            <w:pPr>
              <w:tabs>
                <w:tab w:val="left" w:pos="7513"/>
              </w:tabs>
              <w:adjustRightInd w:val="0"/>
              <w:snapToGrid w:val="0"/>
              <w:spacing w:line="520" w:lineRule="atLeast"/>
              <w:jc w:val="center"/>
              <w:rPr>
                <w:rFonts w:ascii="仿宋" w:hAnsi="仿宋" w:eastAsia="仿宋" w:cs="宋体"/>
                <w:sz w:val="28"/>
                <w:szCs w:val="28"/>
              </w:rPr>
            </w:pPr>
            <w:r>
              <w:rPr>
                <w:rFonts w:hint="eastAsia" w:ascii="仿宋" w:hAnsi="仿宋" w:eastAsia="仿宋"/>
                <w:sz w:val="28"/>
                <w:szCs w:val="28"/>
              </w:rPr>
              <w:t>事业</w:t>
            </w:r>
          </w:p>
        </w:tc>
        <w:tc>
          <w:tcPr>
            <w:tcW w:w="1800" w:type="dxa"/>
            <w:tcBorders>
              <w:top w:val="single" w:color="auto" w:sz="4" w:space="0"/>
              <w:left w:val="single" w:color="auto" w:sz="4" w:space="0"/>
              <w:bottom w:val="single" w:color="auto" w:sz="4" w:space="0"/>
              <w:right w:val="single" w:color="auto" w:sz="4" w:space="0"/>
            </w:tcBorders>
          </w:tcPr>
          <w:p w14:paraId="658A51D0">
            <w:pPr>
              <w:tabs>
                <w:tab w:val="left" w:pos="7513"/>
              </w:tabs>
              <w:adjustRightInd w:val="0"/>
              <w:snapToGrid w:val="0"/>
              <w:spacing w:line="520" w:lineRule="atLeast"/>
              <w:jc w:val="center"/>
              <w:rPr>
                <w:rFonts w:ascii="仿宋" w:hAnsi="仿宋" w:eastAsia="仿宋" w:cs="宋体"/>
                <w:sz w:val="28"/>
                <w:szCs w:val="28"/>
              </w:rPr>
            </w:pPr>
            <w:r>
              <w:rPr>
                <w:rFonts w:hint="eastAsia" w:ascii="仿宋" w:hAnsi="仿宋" w:eastAsia="仿宋" w:cs="宋体"/>
                <w:sz w:val="28"/>
                <w:szCs w:val="28"/>
              </w:rPr>
              <w:t>29</w:t>
            </w:r>
          </w:p>
        </w:tc>
        <w:tc>
          <w:tcPr>
            <w:tcW w:w="1574" w:type="dxa"/>
            <w:tcBorders>
              <w:top w:val="single" w:color="auto" w:sz="4" w:space="0"/>
              <w:left w:val="single" w:color="auto" w:sz="4" w:space="0"/>
              <w:bottom w:val="single" w:color="auto" w:sz="4" w:space="0"/>
              <w:right w:val="single" w:color="auto" w:sz="4" w:space="0"/>
            </w:tcBorders>
          </w:tcPr>
          <w:p w14:paraId="5DF8E8F5">
            <w:pPr>
              <w:tabs>
                <w:tab w:val="left" w:pos="7513"/>
              </w:tabs>
              <w:adjustRightInd w:val="0"/>
              <w:snapToGrid w:val="0"/>
              <w:spacing w:line="520" w:lineRule="atLeast"/>
              <w:jc w:val="center"/>
              <w:rPr>
                <w:rFonts w:ascii="仿宋" w:hAnsi="仿宋" w:eastAsia="仿宋" w:cs="宋体"/>
                <w:sz w:val="28"/>
                <w:szCs w:val="28"/>
              </w:rPr>
            </w:pPr>
            <w:r>
              <w:rPr>
                <w:rFonts w:hint="eastAsia" w:ascii="仿宋" w:hAnsi="仿宋" w:eastAsia="仿宋" w:cs="宋体"/>
                <w:sz w:val="28"/>
                <w:szCs w:val="28"/>
              </w:rPr>
              <w:t>27</w:t>
            </w:r>
          </w:p>
        </w:tc>
      </w:tr>
      <w:tr w14:paraId="5A4CC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2" w:type="dxa"/>
            <w:tcBorders>
              <w:top w:val="single" w:color="auto" w:sz="4" w:space="0"/>
              <w:left w:val="single" w:color="auto" w:sz="4" w:space="0"/>
              <w:bottom w:val="single" w:color="auto" w:sz="4" w:space="0"/>
              <w:right w:val="single" w:color="auto" w:sz="4" w:space="0"/>
            </w:tcBorders>
          </w:tcPr>
          <w:p w14:paraId="34046B88">
            <w:pPr>
              <w:tabs>
                <w:tab w:val="left" w:pos="7513"/>
              </w:tabs>
              <w:adjustRightInd w:val="0"/>
              <w:snapToGrid w:val="0"/>
              <w:spacing w:line="520" w:lineRule="atLeast"/>
              <w:rPr>
                <w:rFonts w:ascii="仿宋" w:hAnsi="仿宋" w:eastAsia="仿宋" w:cs="宋体"/>
                <w:sz w:val="28"/>
                <w:szCs w:val="28"/>
              </w:rPr>
            </w:pPr>
            <w:r>
              <w:rPr>
                <w:rFonts w:hint="eastAsia" w:ascii="仿宋" w:hAnsi="仿宋" w:eastAsia="仿宋"/>
                <w:sz w:val="28"/>
                <w:szCs w:val="28"/>
              </w:rPr>
              <w:t>厦门市信息中心</w:t>
            </w:r>
          </w:p>
        </w:tc>
        <w:tc>
          <w:tcPr>
            <w:tcW w:w="1576" w:type="dxa"/>
            <w:tcBorders>
              <w:top w:val="single" w:color="auto" w:sz="4" w:space="0"/>
              <w:left w:val="single" w:color="auto" w:sz="4" w:space="0"/>
              <w:bottom w:val="single" w:color="auto" w:sz="4" w:space="0"/>
              <w:right w:val="single" w:color="auto" w:sz="4" w:space="0"/>
            </w:tcBorders>
          </w:tcPr>
          <w:p w14:paraId="44237FC8">
            <w:pPr>
              <w:tabs>
                <w:tab w:val="left" w:pos="7513"/>
              </w:tabs>
              <w:adjustRightInd w:val="0"/>
              <w:snapToGrid w:val="0"/>
              <w:spacing w:line="520" w:lineRule="atLeast"/>
              <w:jc w:val="center"/>
              <w:rPr>
                <w:rFonts w:ascii="仿宋" w:hAnsi="仿宋" w:eastAsia="仿宋" w:cs="宋体"/>
                <w:sz w:val="28"/>
                <w:szCs w:val="28"/>
              </w:rPr>
            </w:pPr>
            <w:r>
              <w:rPr>
                <w:rFonts w:hint="eastAsia" w:ascii="仿宋" w:hAnsi="仿宋" w:eastAsia="仿宋"/>
                <w:sz w:val="28"/>
                <w:szCs w:val="28"/>
              </w:rPr>
              <w:t>事业</w:t>
            </w:r>
          </w:p>
        </w:tc>
        <w:tc>
          <w:tcPr>
            <w:tcW w:w="1800" w:type="dxa"/>
            <w:tcBorders>
              <w:top w:val="single" w:color="auto" w:sz="4" w:space="0"/>
              <w:left w:val="single" w:color="auto" w:sz="4" w:space="0"/>
              <w:bottom w:val="single" w:color="auto" w:sz="4" w:space="0"/>
              <w:right w:val="single" w:color="auto" w:sz="4" w:space="0"/>
            </w:tcBorders>
          </w:tcPr>
          <w:p w14:paraId="739B5FD8">
            <w:pPr>
              <w:tabs>
                <w:tab w:val="left" w:pos="7513"/>
              </w:tabs>
              <w:adjustRightInd w:val="0"/>
              <w:snapToGrid w:val="0"/>
              <w:spacing w:line="520" w:lineRule="atLeast"/>
              <w:jc w:val="center"/>
              <w:rPr>
                <w:rFonts w:ascii="仿宋" w:hAnsi="仿宋" w:eastAsia="仿宋" w:cs="宋体"/>
                <w:sz w:val="28"/>
                <w:szCs w:val="28"/>
              </w:rPr>
            </w:pPr>
            <w:r>
              <w:rPr>
                <w:rFonts w:hint="eastAsia" w:ascii="仿宋" w:hAnsi="仿宋" w:eastAsia="仿宋" w:cs="宋体"/>
                <w:sz w:val="28"/>
                <w:szCs w:val="28"/>
              </w:rPr>
              <w:t>90</w:t>
            </w:r>
          </w:p>
        </w:tc>
        <w:tc>
          <w:tcPr>
            <w:tcW w:w="1574" w:type="dxa"/>
            <w:tcBorders>
              <w:top w:val="single" w:color="auto" w:sz="4" w:space="0"/>
              <w:left w:val="single" w:color="auto" w:sz="4" w:space="0"/>
              <w:bottom w:val="single" w:color="auto" w:sz="4" w:space="0"/>
              <w:right w:val="single" w:color="auto" w:sz="4" w:space="0"/>
            </w:tcBorders>
          </w:tcPr>
          <w:p w14:paraId="38CAD1F8">
            <w:pPr>
              <w:tabs>
                <w:tab w:val="left" w:pos="7513"/>
              </w:tabs>
              <w:adjustRightInd w:val="0"/>
              <w:snapToGrid w:val="0"/>
              <w:spacing w:line="520" w:lineRule="atLeast"/>
              <w:jc w:val="center"/>
              <w:rPr>
                <w:rFonts w:ascii="仿宋" w:hAnsi="仿宋" w:eastAsia="仿宋" w:cs="宋体"/>
                <w:sz w:val="28"/>
                <w:szCs w:val="28"/>
              </w:rPr>
            </w:pPr>
            <w:r>
              <w:rPr>
                <w:rFonts w:hint="eastAsia" w:ascii="仿宋" w:hAnsi="仿宋" w:eastAsia="仿宋" w:cs="宋体"/>
                <w:sz w:val="28"/>
                <w:szCs w:val="28"/>
              </w:rPr>
              <w:t>85</w:t>
            </w:r>
          </w:p>
        </w:tc>
      </w:tr>
    </w:tbl>
    <w:p w14:paraId="2ED1EB03">
      <w:pPr>
        <w:widowControl/>
        <w:spacing w:before="100" w:beforeAutospacing="1" w:after="100" w:afterAutospacing="1" w:line="600" w:lineRule="exact"/>
        <w:ind w:firstLine="640" w:firstLineChars="200"/>
        <w:jc w:val="left"/>
        <w:rPr>
          <w:rFonts w:ascii="宋体" w:hAnsi="宋体" w:eastAsia="宋体" w:cs="宋体"/>
          <w:kern w:val="0"/>
          <w:sz w:val="24"/>
          <w:szCs w:val="24"/>
        </w:rPr>
      </w:pPr>
      <w:r>
        <w:rPr>
          <w:rFonts w:hint="eastAsia" w:ascii="黑体" w:hAnsi="宋体" w:eastAsia="黑体" w:cs="宋体"/>
          <w:kern w:val="0"/>
          <w:sz w:val="32"/>
          <w:szCs w:val="32"/>
        </w:rPr>
        <w:t>三、部门主要工作总结</w:t>
      </w:r>
    </w:p>
    <w:p w14:paraId="3A21E741">
      <w:pPr>
        <w:widowControl/>
        <w:spacing w:before="100" w:beforeAutospacing="1" w:after="100" w:afterAutospacing="1" w:line="600" w:lineRule="exact"/>
        <w:ind w:firstLine="640" w:firstLineChars="200"/>
        <w:jc w:val="left"/>
        <w:rPr>
          <w:rFonts w:ascii="仿宋" w:hAnsi="仿宋" w:eastAsia="仿宋" w:cs="宋体"/>
          <w:kern w:val="0"/>
          <w:sz w:val="24"/>
          <w:szCs w:val="24"/>
        </w:rPr>
      </w:pPr>
      <w:r>
        <w:rPr>
          <w:rFonts w:hint="eastAsia" w:ascii="仿宋" w:hAnsi="仿宋" w:eastAsia="仿宋" w:cs="宋体"/>
          <w:kern w:val="0"/>
          <w:sz w:val="32"/>
          <w:szCs w:val="32"/>
        </w:rPr>
        <w:t>2017年，厦门市经济和信息化局（汇总）部门主要任务是：</w:t>
      </w:r>
      <w:r>
        <w:rPr>
          <w:rFonts w:hint="eastAsia" w:ascii="仿宋" w:hAnsi="仿宋" w:eastAsia="仿宋" w:cs="Times New Roman"/>
          <w:sz w:val="32"/>
          <w:szCs w:val="32"/>
        </w:rPr>
        <w:t>全力以赴抓运行</w:t>
      </w:r>
      <w:r>
        <w:rPr>
          <w:rFonts w:hint="eastAsia" w:ascii="仿宋" w:hAnsi="仿宋" w:eastAsia="仿宋"/>
          <w:sz w:val="32"/>
          <w:szCs w:val="32"/>
        </w:rPr>
        <w:t>、</w:t>
      </w:r>
      <w:r>
        <w:rPr>
          <w:rFonts w:hint="eastAsia" w:ascii="仿宋" w:hAnsi="仿宋" w:eastAsia="仿宋" w:cs="Times New Roman"/>
          <w:sz w:val="32"/>
          <w:szCs w:val="32"/>
        </w:rPr>
        <w:t>狠抓项目增后劲</w:t>
      </w:r>
      <w:r>
        <w:rPr>
          <w:rFonts w:hint="eastAsia" w:ascii="仿宋" w:hAnsi="仿宋" w:eastAsia="仿宋"/>
          <w:sz w:val="32"/>
          <w:szCs w:val="32"/>
        </w:rPr>
        <w:t>、</w:t>
      </w:r>
      <w:r>
        <w:rPr>
          <w:rFonts w:hint="eastAsia" w:ascii="仿宋" w:hAnsi="仿宋" w:eastAsia="仿宋" w:cs="Times New Roman"/>
          <w:sz w:val="32"/>
          <w:szCs w:val="32"/>
        </w:rPr>
        <w:t>精准施策调结构、创新融合促转型、信息建设显优势、优化服务强保障</w:t>
      </w:r>
      <w:r>
        <w:rPr>
          <w:rFonts w:hint="eastAsia" w:ascii="仿宋" w:hAnsi="仿宋" w:eastAsia="仿宋" w:cs="宋体"/>
          <w:kern w:val="0"/>
          <w:sz w:val="32"/>
          <w:szCs w:val="32"/>
        </w:rPr>
        <w:t>。围绕上述任务，重点完成了以下工作：</w:t>
      </w:r>
    </w:p>
    <w:p w14:paraId="2FC0CFA1">
      <w:pPr>
        <w:ind w:firstLine="640" w:firstLineChars="200"/>
        <w:rPr>
          <w:rFonts w:ascii="仿宋" w:hAnsi="仿宋" w:eastAsia="仿宋" w:cs="Times New Roman"/>
          <w:sz w:val="32"/>
          <w:szCs w:val="32"/>
        </w:rPr>
      </w:pPr>
      <w:r>
        <w:rPr>
          <w:rFonts w:hint="eastAsia" w:ascii="仿宋" w:hAnsi="仿宋" w:eastAsia="仿宋" w:cs="Times New Roman"/>
          <w:sz w:val="32"/>
          <w:szCs w:val="32"/>
        </w:rPr>
        <w:t>（一）全力以赴抓运行。2017年，我市工业经济运行总体平稳，1-10规模工业增加值增长8.1%，增速创三年来工业增速最好水平，居全省第3位，创2012年以来的最好位次。企业运行质量提高。1-9月规模工业利润增长28.9%，比全省的18.9%高出10个百分点，比全国的22.8%高出6.1个百分点。今年4月我市被国务院通报表彰为“推动实施中国制造2025、促进工业稳增长和转型升级成效明显的市”。</w:t>
      </w:r>
    </w:p>
    <w:p w14:paraId="4BFC0A0E">
      <w:pPr>
        <w:ind w:firstLine="640" w:firstLineChars="200"/>
        <w:rPr>
          <w:rFonts w:ascii="仿宋" w:hAnsi="仿宋" w:eastAsia="仿宋" w:cs="Times New Roman"/>
          <w:sz w:val="32"/>
          <w:szCs w:val="32"/>
        </w:rPr>
      </w:pPr>
      <w:r>
        <w:rPr>
          <w:rFonts w:hint="eastAsia" w:ascii="仿宋" w:hAnsi="仿宋" w:eastAsia="仿宋" w:cs="Times New Roman"/>
          <w:sz w:val="32"/>
          <w:szCs w:val="32"/>
        </w:rPr>
        <w:t>主要开展 “1+2+3”工作。一是建立一个分类协调机制：分类协调龙头、成长、增产、减产、小升规等5类企业。二是建立两套直报系统：重点工业企业数据“直报平台”，重点跟踪150家重点企业和1700家规上工业企业；中小企业在线平台，密切关注1400家成长型中小微企业运行情况。三是建立三个服务平台：融资云、政策云和968119（企业运行问题“受理平台”）。针对企业在资金需求、政策运用和问题受理等方面提供有效服务。</w:t>
      </w:r>
    </w:p>
    <w:p w14:paraId="6F0551BE">
      <w:pPr>
        <w:spacing w:line="590" w:lineRule="exact"/>
        <w:ind w:firstLine="640"/>
        <w:rPr>
          <w:rFonts w:ascii="仿宋" w:hAnsi="仿宋" w:eastAsia="仿宋" w:cs="Times New Roman"/>
          <w:sz w:val="32"/>
          <w:szCs w:val="32"/>
        </w:rPr>
      </w:pPr>
      <w:r>
        <w:rPr>
          <w:rFonts w:hint="eastAsia" w:ascii="仿宋" w:hAnsi="仿宋" w:eastAsia="仿宋" w:cs="Times New Roman"/>
          <w:sz w:val="32"/>
          <w:szCs w:val="32"/>
        </w:rPr>
        <w:t>（二）狠抓项目增后劲。一是加强政策扶持。先后出台货梯补助、增产增效、增产生产用电、支持规下转规上等政策，兑现各类专项资金7.32亿元，惠及企业1785家（次）。二是跟踪督实项目。建立龙头项目挂钩联系机制，重点跟踪电子信息、机械装备等12个重点发展行业的71个龙头项目。重点抓好 “五个一批”，437个项目计划投资3242.97亿元，滚动实施重点技改项目36项，发放技改扶持资金1.14亿元。三是加强工业招商。出台工作方案，成立招商办，建立工业招商工作机制。策划在谈产业项目93项，总投资829亿元。京东众创物联智造产业基地等一批落户厦门。建立厦门智能制造双创基地和机器人超市，引进德国西门子、瑞士</w:t>
      </w:r>
      <w:r>
        <w:rPr>
          <w:rFonts w:ascii="仿宋" w:hAnsi="仿宋" w:eastAsia="仿宋" w:cs="Times New Roman"/>
          <w:sz w:val="32"/>
          <w:szCs w:val="32"/>
        </w:rPr>
        <w:t>ABB</w:t>
      </w:r>
      <w:r>
        <w:rPr>
          <w:rFonts w:hint="eastAsia" w:ascii="仿宋" w:hAnsi="仿宋" w:eastAsia="仿宋" w:cs="Times New Roman"/>
          <w:sz w:val="32"/>
          <w:szCs w:val="32"/>
        </w:rPr>
        <w:t>、日本安川、发那科、丹麦优傲等</w:t>
      </w:r>
      <w:r>
        <w:rPr>
          <w:rFonts w:ascii="仿宋" w:hAnsi="仿宋" w:eastAsia="仿宋" w:cs="Times New Roman"/>
          <w:sz w:val="32"/>
          <w:szCs w:val="32"/>
        </w:rPr>
        <w:t>41</w:t>
      </w:r>
      <w:r>
        <w:rPr>
          <w:rFonts w:hint="eastAsia" w:ascii="仿宋" w:hAnsi="仿宋" w:eastAsia="仿宋" w:cs="Times New Roman"/>
          <w:sz w:val="32"/>
          <w:szCs w:val="32"/>
        </w:rPr>
        <w:t>家企业入驻。</w:t>
      </w:r>
    </w:p>
    <w:p w14:paraId="05C5A270">
      <w:pPr>
        <w:ind w:firstLine="640" w:firstLineChars="200"/>
        <w:rPr>
          <w:rFonts w:ascii="仿宋" w:hAnsi="仿宋" w:eastAsia="仿宋" w:cs="Times New Roman"/>
          <w:sz w:val="32"/>
          <w:szCs w:val="32"/>
        </w:rPr>
      </w:pPr>
      <w:r>
        <w:rPr>
          <w:rFonts w:hint="eastAsia" w:ascii="仿宋" w:hAnsi="仿宋" w:eastAsia="仿宋" w:cs="Times New Roman"/>
          <w:sz w:val="32"/>
          <w:szCs w:val="32"/>
        </w:rPr>
        <w:t>（三）精准施策调结构。一是分行业指导。出台《关于建立健全制造业分析推进工作机制实施意见》，分行业编制行业总图和细分行业的发展路线图。二是推进产业集群发展。大力发展机械装备、软件信息和新材料三大千亿产业链。高新技术企业增加值占规模工业企业的67.6%。</w:t>
      </w:r>
      <w:r>
        <w:rPr>
          <w:rFonts w:ascii="仿宋" w:hAnsi="仿宋" w:eastAsia="仿宋" w:cs="Times New Roman"/>
          <w:sz w:val="32"/>
          <w:szCs w:val="32"/>
        </w:rPr>
        <w:t>5</w:t>
      </w:r>
      <w:r>
        <w:rPr>
          <w:rFonts w:hint="eastAsia" w:ascii="仿宋" w:hAnsi="仿宋" w:eastAsia="仿宋" w:cs="Times New Roman"/>
          <w:sz w:val="32"/>
          <w:szCs w:val="32"/>
        </w:rPr>
        <w:t>家企业入选</w:t>
      </w:r>
      <w:r>
        <w:rPr>
          <w:rFonts w:ascii="仿宋" w:hAnsi="仿宋" w:eastAsia="仿宋" w:cs="Times New Roman"/>
          <w:sz w:val="32"/>
          <w:szCs w:val="32"/>
        </w:rPr>
        <w:t>2017</w:t>
      </w:r>
      <w:r>
        <w:rPr>
          <w:rFonts w:hint="eastAsia" w:ascii="仿宋" w:hAnsi="仿宋" w:eastAsia="仿宋" w:cs="Times New Roman"/>
          <w:sz w:val="32"/>
          <w:szCs w:val="32"/>
        </w:rPr>
        <w:t>年中国互联网企业</w:t>
      </w:r>
      <w:r>
        <w:rPr>
          <w:rFonts w:ascii="仿宋" w:hAnsi="仿宋" w:eastAsia="仿宋" w:cs="Times New Roman"/>
          <w:sz w:val="32"/>
          <w:szCs w:val="32"/>
        </w:rPr>
        <w:t>100</w:t>
      </w:r>
      <w:r>
        <w:rPr>
          <w:rFonts w:hint="eastAsia" w:ascii="仿宋" w:hAnsi="仿宋" w:eastAsia="仿宋" w:cs="Times New Roman"/>
          <w:sz w:val="32"/>
          <w:szCs w:val="32"/>
        </w:rPr>
        <w:t>强。南讯软件荣获“</w:t>
      </w:r>
      <w:r>
        <w:rPr>
          <w:rFonts w:ascii="仿宋" w:hAnsi="仿宋" w:eastAsia="仿宋" w:cs="Times New Roman"/>
          <w:sz w:val="32"/>
          <w:szCs w:val="32"/>
        </w:rPr>
        <w:t>2017</w:t>
      </w:r>
      <w:r>
        <w:rPr>
          <w:rFonts w:hint="eastAsia" w:ascii="仿宋" w:hAnsi="仿宋" w:eastAsia="仿宋" w:cs="Times New Roman"/>
          <w:sz w:val="32"/>
          <w:szCs w:val="32"/>
        </w:rPr>
        <w:t>中国大数据企业</w:t>
      </w:r>
      <w:r>
        <w:rPr>
          <w:rFonts w:ascii="仿宋" w:hAnsi="仿宋" w:eastAsia="仿宋" w:cs="Times New Roman"/>
          <w:sz w:val="32"/>
          <w:szCs w:val="32"/>
        </w:rPr>
        <w:t>50</w:t>
      </w:r>
      <w:r>
        <w:rPr>
          <w:rFonts w:hint="eastAsia" w:ascii="仿宋" w:hAnsi="仿宋" w:eastAsia="仿宋" w:cs="Times New Roman"/>
          <w:sz w:val="32"/>
          <w:szCs w:val="32"/>
        </w:rPr>
        <w:t>强”。全省互联网20强我市企业占70%。石墨烯、碳纳米材料、碳化硅材料等从研发开始转向量产。新能源汽车推广量居全省第一。三是强化要素保障。梳理工业企业增资扩产需解决用地项目64个，用地需求为5472亩，推动解决一批企业项目用地需求。</w:t>
      </w:r>
    </w:p>
    <w:p w14:paraId="57BA9556">
      <w:pPr>
        <w:spacing w:line="590" w:lineRule="exact"/>
        <w:ind w:firstLine="640"/>
        <w:rPr>
          <w:rFonts w:ascii="仿宋" w:hAnsi="仿宋" w:eastAsia="仿宋" w:cs="Times New Roman"/>
          <w:sz w:val="32"/>
          <w:szCs w:val="32"/>
        </w:rPr>
      </w:pPr>
      <w:r>
        <w:rPr>
          <w:rFonts w:hint="eastAsia" w:ascii="仿宋" w:hAnsi="仿宋" w:eastAsia="仿宋" w:cs="Times New Roman"/>
          <w:sz w:val="32"/>
          <w:szCs w:val="32"/>
        </w:rPr>
        <w:t>（四）创新融合促转型。一是深化两化融合。新增22家通过两化融合贯标企业，累计开展贯标企业206家。新增国家级工业设计中心3家，国家服务型制造示范企业3家。企业信息化规划、CIO制度建设的普及率大幅提高，企业的新型能力逐步形成，竞争力得到增强，转型升级进展加快。二是加快推进智能制造，形成一批智能制造试点示范企业、样板车间。新增4家国家智能制造试点示范企业（占全省67%），3家省级智能制造试点示范企业、13家市级智能制造企业试点示范企业。三是提升企业创新能力。新增国家小微企业创业创新示范基地2家，组织企业申报各级技术中心，开展产学研专项工作。企业研发创新能力持续提升。规上企业实现“R&amp;D”内部经费支出96.30亿元，研发投入强度达到2.03%，处于全省领先水平。</w:t>
      </w:r>
    </w:p>
    <w:p w14:paraId="57464718">
      <w:pPr>
        <w:spacing w:line="590" w:lineRule="exact"/>
        <w:ind w:firstLine="640" w:firstLineChars="200"/>
        <w:rPr>
          <w:rFonts w:ascii="仿宋" w:hAnsi="仿宋" w:eastAsia="仿宋" w:cs="Times New Roman"/>
          <w:sz w:val="32"/>
          <w:szCs w:val="32"/>
        </w:rPr>
      </w:pPr>
      <w:r>
        <w:rPr>
          <w:rFonts w:hint="eastAsia" w:ascii="仿宋" w:hAnsi="仿宋" w:eastAsia="仿宋" w:cs="Times New Roman"/>
          <w:sz w:val="32"/>
          <w:szCs w:val="32"/>
        </w:rPr>
        <w:t>（五）信息建设显优势。一是金砖会晤保障有力。完成了厦门会晤注册中心、制证中心、媒体取证中心、工商论坛注册中心的改造工作。厦门会晤期间，注册系统成功抵御攻击1067万多次，为厦门会晤的顺利举行做出了积极贡献。二是整合优化信息资源。市民卡APP上线。完善四大基础数据库整合，为全市33个部门、多个业务领域提供市民基础数据共享服务。完善电子证照库平台建设，“i厦门”平台用户总数突破216万人，实现了14个政府部门的50余个业务应用对接。我市政务信息共享平台获国务院放管服督查组高度肯定，督查组在《人民日报》上进行专题报道。三是稳步推进互联网+政务。积极推进一站式的闽政通APP对接工作。整理出可对接闽政通APP的服务114项，配合各部门积极完成与闽政通APP对接任务，共有10家单位已开展对接工作。</w:t>
      </w:r>
    </w:p>
    <w:p w14:paraId="4DFF4893">
      <w:pPr>
        <w:spacing w:line="590" w:lineRule="exact"/>
        <w:ind w:firstLine="640"/>
        <w:rPr>
          <w:rFonts w:ascii="仿宋" w:hAnsi="仿宋" w:eastAsia="仿宋" w:cs="Times New Roman"/>
          <w:sz w:val="32"/>
          <w:szCs w:val="32"/>
        </w:rPr>
      </w:pPr>
      <w:r>
        <w:rPr>
          <w:rFonts w:hint="eastAsia" w:ascii="仿宋" w:hAnsi="仿宋" w:eastAsia="仿宋" w:cs="Times New Roman"/>
          <w:sz w:val="32"/>
          <w:szCs w:val="32"/>
        </w:rPr>
        <w:t>（六）优化服务强保障。一是持续推进产融合作。搭建“厦门市产融合作云平台”，举办17场银企对接会，累计发放还贷应急资金39笔，共计1.96亿元，设立信贷风险补偿金，帮助2000多家小微企业获得信用贷款超20亿元。二是分层推进服务企业。出台《支持龙头企业创新成长企业产值增长大户企业发展的工作方案》，建立</w:t>
      </w:r>
      <w:r>
        <w:rPr>
          <w:rFonts w:ascii="仿宋" w:hAnsi="仿宋" w:eastAsia="仿宋" w:cs="Times New Roman"/>
          <w:sz w:val="32"/>
          <w:szCs w:val="32"/>
        </w:rPr>
        <w:t>80</w:t>
      </w:r>
      <w:r>
        <w:rPr>
          <w:rFonts w:hint="eastAsia" w:ascii="仿宋" w:hAnsi="仿宋" w:eastAsia="仿宋" w:cs="Times New Roman"/>
          <w:sz w:val="32"/>
          <w:szCs w:val="32"/>
        </w:rPr>
        <w:t>家工业龙头企业、</w:t>
      </w:r>
      <w:r>
        <w:rPr>
          <w:rFonts w:ascii="仿宋" w:hAnsi="仿宋" w:eastAsia="仿宋" w:cs="Times New Roman"/>
          <w:sz w:val="32"/>
          <w:szCs w:val="32"/>
        </w:rPr>
        <w:t>30</w:t>
      </w:r>
      <w:r>
        <w:rPr>
          <w:rFonts w:hint="eastAsia" w:ascii="仿宋" w:hAnsi="仿宋" w:eastAsia="仿宋" w:cs="Times New Roman"/>
          <w:sz w:val="32"/>
          <w:szCs w:val="32"/>
        </w:rPr>
        <w:t>家工业创新成长企业、</w:t>
      </w:r>
      <w:r>
        <w:rPr>
          <w:rFonts w:ascii="仿宋" w:hAnsi="仿宋" w:eastAsia="仿宋" w:cs="Times New Roman"/>
          <w:sz w:val="32"/>
          <w:szCs w:val="32"/>
        </w:rPr>
        <w:t>30</w:t>
      </w:r>
      <w:r>
        <w:rPr>
          <w:rFonts w:hint="eastAsia" w:ascii="仿宋" w:hAnsi="仿宋" w:eastAsia="仿宋" w:cs="Times New Roman"/>
          <w:sz w:val="32"/>
          <w:szCs w:val="32"/>
        </w:rPr>
        <w:t>户重点扶持的产值增长大户企业协调服务机制。市领导分别挂钩联系</w:t>
      </w:r>
      <w:r>
        <w:rPr>
          <w:rFonts w:ascii="仿宋" w:hAnsi="仿宋" w:eastAsia="仿宋" w:cs="Times New Roman"/>
          <w:sz w:val="32"/>
          <w:szCs w:val="32"/>
        </w:rPr>
        <w:t>10-30</w:t>
      </w:r>
      <w:r>
        <w:rPr>
          <w:rFonts w:hint="eastAsia" w:ascii="仿宋" w:hAnsi="仿宋" w:eastAsia="仿宋" w:cs="Times New Roman"/>
          <w:sz w:val="32"/>
          <w:szCs w:val="32"/>
        </w:rPr>
        <w:t>家龙头企业、创新成长企业，协调解决企业发展中遇到的问题。三是创新推进平台服务。新增国家中小企业服务示范平台3家。建成“</w:t>
      </w:r>
      <w:r>
        <w:rPr>
          <w:rFonts w:ascii="仿宋" w:hAnsi="仿宋" w:eastAsia="仿宋" w:cs="Times New Roman"/>
          <w:sz w:val="32"/>
          <w:szCs w:val="32"/>
        </w:rPr>
        <w:t>1</w:t>
      </w:r>
      <w:r>
        <w:rPr>
          <w:rFonts w:hint="eastAsia" w:ascii="仿宋" w:hAnsi="仿宋" w:eastAsia="仿宋" w:cs="Times New Roman"/>
          <w:sz w:val="32"/>
          <w:szCs w:val="32"/>
        </w:rPr>
        <w:t>市级平台</w:t>
      </w:r>
      <w:r>
        <w:rPr>
          <w:rFonts w:ascii="仿宋" w:hAnsi="仿宋" w:eastAsia="仿宋" w:cs="Times New Roman"/>
          <w:sz w:val="32"/>
          <w:szCs w:val="32"/>
        </w:rPr>
        <w:t>+11</w:t>
      </w:r>
      <w:r>
        <w:rPr>
          <w:rFonts w:hint="eastAsia" w:ascii="仿宋" w:hAnsi="仿宋" w:eastAsia="仿宋" w:cs="Times New Roman"/>
          <w:sz w:val="32"/>
          <w:szCs w:val="32"/>
        </w:rPr>
        <w:t>窗口平台”的中小企业公共服务平台网络。全省率先建立惠企政策搜索引擎平台，已发布涵盖29个部门417条惠企政策，为企业查询政策提供一站式服务。</w:t>
      </w:r>
    </w:p>
    <w:p w14:paraId="1914126E">
      <w:pPr>
        <w:widowControl/>
        <w:spacing w:before="100" w:beforeAutospacing="1" w:after="100" w:afterAutospacing="1" w:line="600" w:lineRule="exact"/>
        <w:ind w:firstLine="640" w:firstLineChars="200"/>
        <w:jc w:val="left"/>
        <w:rPr>
          <w:rFonts w:ascii="宋体" w:hAnsi="宋体" w:eastAsia="宋体" w:cs="宋体"/>
          <w:kern w:val="0"/>
          <w:sz w:val="24"/>
          <w:szCs w:val="24"/>
        </w:rPr>
      </w:pPr>
      <w:r>
        <w:rPr>
          <w:rFonts w:hint="eastAsia" w:ascii="黑体" w:hAnsi="宋体" w:eastAsia="黑体" w:cs="宋体"/>
          <w:kern w:val="0"/>
          <w:sz w:val="32"/>
          <w:szCs w:val="32"/>
        </w:rPr>
        <w:t>四、2017年决算收支总体情况</w:t>
      </w:r>
    </w:p>
    <w:p w14:paraId="7DB617DC">
      <w:pPr>
        <w:widowControl/>
        <w:tabs>
          <w:tab w:val="left" w:pos="7513"/>
        </w:tabs>
        <w:adjustRightInd w:val="0"/>
        <w:snapToGrid w:val="0"/>
        <w:spacing w:before="100" w:beforeAutospacing="1" w:after="100" w:afterAutospacing="1" w:line="600" w:lineRule="exact"/>
        <w:ind w:firstLine="640" w:firstLineChars="200"/>
        <w:jc w:val="left"/>
        <w:rPr>
          <w:rFonts w:ascii="仿宋" w:hAnsi="仿宋" w:eastAsia="仿宋" w:cs="宋体"/>
          <w:kern w:val="0"/>
          <w:sz w:val="24"/>
          <w:szCs w:val="24"/>
        </w:rPr>
      </w:pPr>
      <w:r>
        <w:rPr>
          <w:rFonts w:hint="eastAsia" w:ascii="仿宋" w:hAnsi="仿宋" w:eastAsia="仿宋" w:cs="仿宋_GB2312"/>
          <w:kern w:val="0"/>
          <w:sz w:val="32"/>
          <w:szCs w:val="32"/>
        </w:rPr>
        <w:t>2017年</w:t>
      </w:r>
      <w:r>
        <w:rPr>
          <w:rFonts w:hint="eastAsia" w:ascii="仿宋" w:hAnsi="仿宋" w:eastAsia="仿宋" w:cs="宋体"/>
          <w:kern w:val="0"/>
          <w:sz w:val="32"/>
          <w:szCs w:val="32"/>
        </w:rPr>
        <w:t>厦门市经济和信息化局（汇总）</w:t>
      </w:r>
      <w:r>
        <w:rPr>
          <w:rFonts w:hint="eastAsia" w:ascii="仿宋" w:hAnsi="仿宋" w:eastAsia="仿宋" w:cs="仿宋_GB2312"/>
          <w:kern w:val="0"/>
          <w:sz w:val="32"/>
          <w:szCs w:val="32"/>
        </w:rPr>
        <w:t>部门年初结转和结余14,287.64万元，本年收入152,620.84万元，本年支出150,801.91万元，事业基金弥补收支差额0.00万元，结余分配5.33万元，年末结转和结余16,101.24万元。</w:t>
      </w:r>
    </w:p>
    <w:p w14:paraId="731F8DBD">
      <w:pPr>
        <w:widowControl/>
        <w:adjustRightInd w:val="0"/>
        <w:spacing w:before="100" w:beforeAutospacing="1" w:after="100" w:afterAutospacing="1" w:line="600" w:lineRule="exact"/>
        <w:ind w:firstLine="640" w:firstLineChars="200"/>
        <w:jc w:val="left"/>
        <w:rPr>
          <w:rFonts w:ascii="仿宋" w:hAnsi="仿宋" w:eastAsia="仿宋" w:cs="宋体"/>
          <w:kern w:val="0"/>
          <w:sz w:val="24"/>
          <w:szCs w:val="24"/>
        </w:rPr>
      </w:pPr>
      <w:r>
        <w:rPr>
          <w:rFonts w:hint="eastAsia" w:ascii="仿宋" w:hAnsi="仿宋" w:eastAsia="仿宋" w:cs="仿宋_GB2312"/>
          <w:kern w:val="0"/>
          <w:sz w:val="32"/>
          <w:szCs w:val="32"/>
        </w:rPr>
        <w:t>（一）2017年收入152,620.84万元，比2016年决算数增加46,378.31万元，增长43.65％</w:t>
      </w:r>
      <w:r>
        <w:rPr>
          <w:rFonts w:hint="eastAsia" w:ascii="仿宋" w:hAnsi="仿宋" w:eastAsia="仿宋" w:cs="宋体"/>
          <w:kern w:val="0"/>
          <w:sz w:val="32"/>
          <w:szCs w:val="32"/>
        </w:rPr>
        <w:t>，</w:t>
      </w:r>
      <w:r>
        <w:rPr>
          <w:rFonts w:hint="eastAsia" w:ascii="仿宋" w:hAnsi="仿宋" w:eastAsia="仿宋" w:cs="仿宋_GB2312"/>
          <w:kern w:val="0"/>
          <w:sz w:val="32"/>
          <w:szCs w:val="32"/>
        </w:rPr>
        <w:t>具体情况如下：</w:t>
      </w:r>
    </w:p>
    <w:p w14:paraId="6BE74611">
      <w:pPr>
        <w:widowControl/>
        <w:adjustRightInd w:val="0"/>
        <w:spacing w:before="100" w:beforeAutospacing="1" w:after="100" w:afterAutospacing="1" w:line="600" w:lineRule="exact"/>
        <w:ind w:left="160" w:leftChars="76" w:firstLine="480" w:firstLineChars="150"/>
        <w:jc w:val="left"/>
        <w:rPr>
          <w:rFonts w:ascii="仿宋" w:hAnsi="仿宋" w:eastAsia="仿宋" w:cs="宋体"/>
          <w:kern w:val="0"/>
          <w:sz w:val="24"/>
          <w:szCs w:val="24"/>
        </w:rPr>
      </w:pPr>
      <w:r>
        <w:rPr>
          <w:rFonts w:hint="eastAsia" w:ascii="仿宋" w:hAnsi="仿宋" w:eastAsia="仿宋" w:cs="仿宋_GB2312"/>
          <w:kern w:val="0"/>
          <w:sz w:val="32"/>
          <w:szCs w:val="32"/>
        </w:rPr>
        <w:t>1.财政拨款收入151,800.81万元，其中政府性基金2,759.65万元。</w:t>
      </w:r>
    </w:p>
    <w:p w14:paraId="7B9FAED1">
      <w:pPr>
        <w:widowControl/>
        <w:adjustRightInd w:val="0"/>
        <w:spacing w:before="100" w:beforeAutospacing="1" w:after="100" w:afterAutospacing="1" w:line="600" w:lineRule="exact"/>
        <w:ind w:firstLine="640" w:firstLineChars="200"/>
        <w:jc w:val="left"/>
        <w:rPr>
          <w:rFonts w:ascii="仿宋" w:hAnsi="仿宋" w:eastAsia="仿宋" w:cs="宋体"/>
          <w:kern w:val="0"/>
          <w:sz w:val="24"/>
          <w:szCs w:val="24"/>
        </w:rPr>
      </w:pPr>
      <w:r>
        <w:rPr>
          <w:rFonts w:hint="eastAsia" w:ascii="仿宋" w:hAnsi="仿宋" w:eastAsia="仿宋" w:cs="仿宋_GB2312"/>
          <w:kern w:val="0"/>
          <w:sz w:val="32"/>
          <w:szCs w:val="32"/>
        </w:rPr>
        <w:t>2.事业收入0.00万元。</w:t>
      </w:r>
    </w:p>
    <w:p w14:paraId="1B5DDD4B">
      <w:pPr>
        <w:widowControl/>
        <w:adjustRightInd w:val="0"/>
        <w:spacing w:before="100" w:beforeAutospacing="1" w:after="100" w:afterAutospacing="1" w:line="600" w:lineRule="exact"/>
        <w:ind w:firstLine="640" w:firstLineChars="200"/>
        <w:jc w:val="left"/>
        <w:rPr>
          <w:rFonts w:ascii="仿宋" w:hAnsi="仿宋" w:eastAsia="仿宋" w:cs="宋体"/>
          <w:kern w:val="0"/>
          <w:sz w:val="24"/>
          <w:szCs w:val="24"/>
        </w:rPr>
      </w:pPr>
      <w:r>
        <w:rPr>
          <w:rFonts w:hint="eastAsia" w:ascii="仿宋" w:hAnsi="仿宋" w:eastAsia="仿宋" w:cs="仿宋_GB2312"/>
          <w:kern w:val="0"/>
          <w:sz w:val="32"/>
          <w:szCs w:val="32"/>
        </w:rPr>
        <w:t>3.经营收入0.00万元。</w:t>
      </w:r>
    </w:p>
    <w:p w14:paraId="0797A3A2">
      <w:pPr>
        <w:widowControl/>
        <w:adjustRightInd w:val="0"/>
        <w:spacing w:before="100" w:beforeAutospacing="1" w:after="100" w:afterAutospacing="1" w:line="600" w:lineRule="exact"/>
        <w:ind w:firstLine="640" w:firstLineChars="200"/>
        <w:jc w:val="left"/>
        <w:rPr>
          <w:rFonts w:ascii="仿宋" w:hAnsi="仿宋" w:eastAsia="仿宋" w:cs="宋体"/>
          <w:kern w:val="0"/>
          <w:sz w:val="24"/>
          <w:szCs w:val="24"/>
        </w:rPr>
      </w:pPr>
      <w:r>
        <w:rPr>
          <w:rFonts w:hint="eastAsia" w:ascii="仿宋" w:hAnsi="仿宋" w:eastAsia="仿宋" w:cs="仿宋_GB2312"/>
          <w:kern w:val="0"/>
          <w:sz w:val="32"/>
          <w:szCs w:val="32"/>
        </w:rPr>
        <w:t>4.</w:t>
      </w:r>
      <w:r>
        <w:rPr>
          <w:rFonts w:hint="eastAsia" w:ascii="仿宋" w:hAnsi="仿宋" w:eastAsia="仿宋" w:cs="宋体"/>
          <w:kern w:val="0"/>
          <w:sz w:val="32"/>
          <w:szCs w:val="32"/>
        </w:rPr>
        <w:t>上级补助收入</w:t>
      </w:r>
      <w:r>
        <w:rPr>
          <w:rFonts w:hint="eastAsia" w:ascii="仿宋" w:hAnsi="仿宋" w:eastAsia="仿宋" w:cs="仿宋_GB2312"/>
          <w:kern w:val="0"/>
          <w:sz w:val="32"/>
          <w:szCs w:val="32"/>
        </w:rPr>
        <w:t>2.00</w:t>
      </w:r>
      <w:r>
        <w:rPr>
          <w:rFonts w:hint="eastAsia" w:ascii="仿宋" w:hAnsi="仿宋" w:eastAsia="仿宋" w:cs="宋体"/>
          <w:kern w:val="0"/>
          <w:sz w:val="32"/>
          <w:szCs w:val="32"/>
        </w:rPr>
        <w:t>万元。</w:t>
      </w:r>
    </w:p>
    <w:p w14:paraId="33D7730D">
      <w:pPr>
        <w:widowControl/>
        <w:adjustRightInd w:val="0"/>
        <w:spacing w:before="100" w:beforeAutospacing="1" w:after="100" w:afterAutospacing="1" w:line="600" w:lineRule="exact"/>
        <w:ind w:firstLine="640" w:firstLineChars="200"/>
        <w:jc w:val="left"/>
        <w:rPr>
          <w:rFonts w:ascii="仿宋" w:hAnsi="仿宋" w:eastAsia="仿宋" w:cs="宋体"/>
          <w:kern w:val="0"/>
          <w:sz w:val="24"/>
          <w:szCs w:val="24"/>
        </w:rPr>
      </w:pPr>
      <w:r>
        <w:rPr>
          <w:rFonts w:hint="eastAsia" w:ascii="仿宋" w:hAnsi="仿宋" w:eastAsia="仿宋" w:cs="仿宋_GB2312"/>
          <w:kern w:val="0"/>
          <w:sz w:val="32"/>
          <w:szCs w:val="32"/>
        </w:rPr>
        <w:t>5.附属单位上缴收入0.00万元。</w:t>
      </w:r>
    </w:p>
    <w:p w14:paraId="3CB0651B">
      <w:pPr>
        <w:widowControl/>
        <w:adjustRightInd w:val="0"/>
        <w:spacing w:before="100" w:beforeAutospacing="1" w:after="100" w:afterAutospacing="1" w:line="600" w:lineRule="exact"/>
        <w:ind w:firstLine="640" w:firstLineChars="200"/>
        <w:jc w:val="left"/>
        <w:rPr>
          <w:rFonts w:ascii="仿宋" w:hAnsi="仿宋" w:eastAsia="仿宋" w:cs="宋体"/>
          <w:kern w:val="0"/>
          <w:sz w:val="24"/>
          <w:szCs w:val="24"/>
        </w:rPr>
      </w:pPr>
      <w:r>
        <w:rPr>
          <w:rFonts w:hint="eastAsia" w:ascii="仿宋" w:hAnsi="仿宋" w:eastAsia="仿宋" w:cs="仿宋_GB2312"/>
          <w:kern w:val="0"/>
          <w:sz w:val="32"/>
          <w:szCs w:val="32"/>
        </w:rPr>
        <w:t>6.其他收入818.03万元。</w:t>
      </w:r>
    </w:p>
    <w:p w14:paraId="23683191">
      <w:pPr>
        <w:widowControl/>
        <w:adjustRightInd w:val="0"/>
        <w:spacing w:before="100" w:beforeAutospacing="1" w:after="100" w:afterAutospacing="1" w:line="600" w:lineRule="exact"/>
        <w:ind w:firstLine="640" w:firstLineChars="200"/>
        <w:jc w:val="left"/>
        <w:rPr>
          <w:rFonts w:ascii="仿宋" w:hAnsi="仿宋" w:eastAsia="仿宋" w:cs="宋体"/>
          <w:kern w:val="0"/>
          <w:sz w:val="24"/>
          <w:szCs w:val="24"/>
        </w:rPr>
      </w:pPr>
      <w:r>
        <w:rPr>
          <w:rFonts w:hint="eastAsia" w:ascii="仿宋" w:hAnsi="仿宋" w:eastAsia="仿宋" w:cs="仿宋_GB2312"/>
          <w:kern w:val="0"/>
          <w:sz w:val="32"/>
          <w:szCs w:val="32"/>
        </w:rPr>
        <w:t>（二）2017年本年支出150,801.91万元，比2016年决算数增加50,849.38万元，增长50.87％</w:t>
      </w:r>
      <w:r>
        <w:rPr>
          <w:rFonts w:hint="eastAsia" w:ascii="仿宋" w:hAnsi="仿宋" w:eastAsia="仿宋" w:cs="宋体"/>
          <w:kern w:val="0"/>
          <w:sz w:val="32"/>
          <w:szCs w:val="32"/>
        </w:rPr>
        <w:t>，</w:t>
      </w:r>
      <w:r>
        <w:rPr>
          <w:rFonts w:hint="eastAsia" w:ascii="仿宋" w:hAnsi="仿宋" w:eastAsia="仿宋" w:cs="仿宋_GB2312"/>
          <w:kern w:val="0"/>
          <w:sz w:val="32"/>
          <w:szCs w:val="32"/>
        </w:rPr>
        <w:t>具体情况如下：</w:t>
      </w:r>
    </w:p>
    <w:p w14:paraId="19C0E011">
      <w:pPr>
        <w:widowControl/>
        <w:tabs>
          <w:tab w:val="left" w:pos="7513"/>
        </w:tabs>
        <w:adjustRightInd w:val="0"/>
        <w:snapToGrid w:val="0"/>
        <w:spacing w:before="100" w:beforeAutospacing="1" w:after="100" w:afterAutospacing="1" w:line="600" w:lineRule="exact"/>
        <w:ind w:left="237" w:leftChars="113" w:firstLine="480" w:firstLineChars="150"/>
        <w:jc w:val="left"/>
        <w:rPr>
          <w:rFonts w:ascii="仿宋" w:hAnsi="仿宋" w:eastAsia="仿宋" w:cs="宋体"/>
          <w:kern w:val="0"/>
          <w:sz w:val="24"/>
          <w:szCs w:val="24"/>
        </w:rPr>
      </w:pPr>
      <w:r>
        <w:rPr>
          <w:rFonts w:hint="eastAsia" w:ascii="仿宋" w:hAnsi="仿宋" w:eastAsia="仿宋" w:cs="仿宋_GB2312"/>
          <w:kern w:val="0"/>
          <w:sz w:val="32"/>
          <w:szCs w:val="32"/>
        </w:rPr>
        <w:t>1.基本支出6,844.60万元。其中，人员支出5,863.70万元，公用支出980.90万元。</w:t>
      </w:r>
    </w:p>
    <w:p w14:paraId="287714F4">
      <w:pPr>
        <w:widowControl/>
        <w:tabs>
          <w:tab w:val="left" w:pos="7513"/>
        </w:tabs>
        <w:adjustRightInd w:val="0"/>
        <w:snapToGrid w:val="0"/>
        <w:spacing w:before="100" w:beforeAutospacing="1" w:after="100" w:afterAutospacing="1" w:line="600" w:lineRule="exact"/>
        <w:ind w:left="237" w:leftChars="113" w:firstLine="480" w:firstLineChars="150"/>
        <w:jc w:val="left"/>
        <w:rPr>
          <w:rFonts w:ascii="仿宋" w:hAnsi="仿宋" w:eastAsia="仿宋" w:cs="宋体"/>
          <w:kern w:val="0"/>
          <w:sz w:val="24"/>
          <w:szCs w:val="24"/>
        </w:rPr>
      </w:pPr>
      <w:r>
        <w:rPr>
          <w:rFonts w:hint="eastAsia" w:ascii="仿宋" w:hAnsi="仿宋" w:eastAsia="仿宋" w:cs="仿宋_GB2312"/>
          <w:kern w:val="0"/>
          <w:sz w:val="32"/>
          <w:szCs w:val="32"/>
        </w:rPr>
        <w:t>2.项目支出143,957.31万元。</w:t>
      </w:r>
    </w:p>
    <w:p w14:paraId="066CD466">
      <w:pPr>
        <w:widowControl/>
        <w:tabs>
          <w:tab w:val="left" w:pos="7513"/>
        </w:tabs>
        <w:adjustRightInd w:val="0"/>
        <w:snapToGrid w:val="0"/>
        <w:spacing w:before="100" w:beforeAutospacing="1" w:after="100" w:afterAutospacing="1" w:line="600" w:lineRule="exact"/>
        <w:ind w:left="237" w:leftChars="113" w:firstLine="480" w:firstLineChars="150"/>
        <w:jc w:val="left"/>
        <w:rPr>
          <w:rFonts w:ascii="仿宋" w:hAnsi="仿宋" w:eastAsia="仿宋" w:cs="宋体"/>
          <w:kern w:val="0"/>
          <w:sz w:val="24"/>
          <w:szCs w:val="24"/>
        </w:rPr>
      </w:pPr>
      <w:r>
        <w:rPr>
          <w:rFonts w:hint="eastAsia" w:ascii="仿宋" w:hAnsi="仿宋" w:eastAsia="仿宋" w:cs="仿宋_GB2312"/>
          <w:kern w:val="0"/>
          <w:sz w:val="32"/>
          <w:szCs w:val="32"/>
        </w:rPr>
        <w:t>3.上缴上级支出0.00万元。</w:t>
      </w:r>
    </w:p>
    <w:p w14:paraId="01ACE353">
      <w:pPr>
        <w:widowControl/>
        <w:tabs>
          <w:tab w:val="left" w:pos="7513"/>
        </w:tabs>
        <w:adjustRightInd w:val="0"/>
        <w:snapToGrid w:val="0"/>
        <w:spacing w:before="100" w:beforeAutospacing="1" w:after="100" w:afterAutospacing="1" w:line="600" w:lineRule="exact"/>
        <w:ind w:left="237" w:leftChars="113" w:firstLine="480" w:firstLineChars="150"/>
        <w:jc w:val="left"/>
        <w:rPr>
          <w:rFonts w:ascii="仿宋" w:hAnsi="仿宋" w:eastAsia="仿宋" w:cs="宋体"/>
          <w:kern w:val="0"/>
          <w:sz w:val="24"/>
          <w:szCs w:val="24"/>
        </w:rPr>
      </w:pPr>
      <w:r>
        <w:rPr>
          <w:rFonts w:hint="eastAsia" w:ascii="仿宋" w:hAnsi="仿宋" w:eastAsia="仿宋" w:cs="仿宋_GB2312"/>
          <w:kern w:val="0"/>
          <w:sz w:val="32"/>
          <w:szCs w:val="32"/>
        </w:rPr>
        <w:t>4.经营支出0.00万元。</w:t>
      </w:r>
    </w:p>
    <w:p w14:paraId="0FF72218">
      <w:pPr>
        <w:widowControl/>
        <w:tabs>
          <w:tab w:val="left" w:pos="7513"/>
        </w:tabs>
        <w:adjustRightInd w:val="0"/>
        <w:snapToGrid w:val="0"/>
        <w:spacing w:before="100" w:beforeAutospacing="1" w:after="100" w:afterAutospacing="1" w:line="600" w:lineRule="exact"/>
        <w:ind w:left="237" w:leftChars="113" w:firstLine="480" w:firstLineChars="150"/>
        <w:jc w:val="left"/>
        <w:rPr>
          <w:rFonts w:ascii="仿宋" w:hAnsi="仿宋" w:eastAsia="仿宋" w:cs="宋体"/>
          <w:kern w:val="0"/>
          <w:sz w:val="24"/>
          <w:szCs w:val="24"/>
        </w:rPr>
      </w:pPr>
      <w:r>
        <w:rPr>
          <w:rFonts w:hint="eastAsia" w:ascii="仿宋" w:hAnsi="仿宋" w:eastAsia="仿宋" w:cs="仿宋_GB2312"/>
          <w:kern w:val="0"/>
          <w:sz w:val="32"/>
          <w:szCs w:val="32"/>
        </w:rPr>
        <w:t>5.对附属单位补助支出0.00万元。</w:t>
      </w:r>
    </w:p>
    <w:p w14:paraId="1EE549B5">
      <w:pPr>
        <w:widowControl/>
        <w:tabs>
          <w:tab w:val="left" w:pos="7513"/>
        </w:tabs>
        <w:adjustRightInd w:val="0"/>
        <w:snapToGrid w:val="0"/>
        <w:spacing w:before="100" w:beforeAutospacing="1" w:after="100" w:afterAutospacing="1" w:line="600" w:lineRule="exact"/>
        <w:ind w:left="237" w:leftChars="113" w:firstLine="480" w:firstLineChars="150"/>
        <w:jc w:val="left"/>
        <w:rPr>
          <w:rFonts w:ascii="宋体" w:hAnsi="宋体" w:eastAsia="宋体" w:cs="宋体"/>
          <w:kern w:val="0"/>
          <w:sz w:val="24"/>
          <w:szCs w:val="24"/>
        </w:rPr>
      </w:pPr>
      <w:r>
        <w:rPr>
          <w:rFonts w:hint="eastAsia" w:ascii="黑体" w:hAnsi="宋体" w:eastAsia="黑体" w:cs="宋体"/>
          <w:kern w:val="0"/>
          <w:sz w:val="32"/>
          <w:szCs w:val="32"/>
        </w:rPr>
        <w:t>五、一般公共预算拨款支出决算情况</w:t>
      </w:r>
    </w:p>
    <w:p w14:paraId="79129286">
      <w:pPr>
        <w:widowControl/>
        <w:spacing w:before="100" w:beforeAutospacing="1" w:after="100" w:afterAutospacing="1" w:line="600" w:lineRule="exact"/>
        <w:ind w:firstLine="640" w:firstLineChars="200"/>
        <w:jc w:val="left"/>
        <w:rPr>
          <w:rFonts w:ascii="仿宋" w:hAnsi="仿宋" w:eastAsia="仿宋" w:cs="宋体"/>
          <w:kern w:val="0"/>
          <w:sz w:val="32"/>
          <w:szCs w:val="32"/>
        </w:rPr>
      </w:pPr>
      <w:r>
        <w:rPr>
          <w:rFonts w:hint="eastAsia" w:ascii="仿宋" w:hAnsi="仿宋" w:eastAsia="仿宋" w:cs="仿宋_GB2312"/>
          <w:kern w:val="0"/>
          <w:sz w:val="32"/>
          <w:szCs w:val="32"/>
        </w:rPr>
        <w:t>2017年</w:t>
      </w:r>
      <w:r>
        <w:rPr>
          <w:rFonts w:hint="eastAsia" w:ascii="仿宋" w:hAnsi="仿宋" w:eastAsia="仿宋" w:cs="宋体"/>
          <w:kern w:val="0"/>
          <w:sz w:val="32"/>
          <w:szCs w:val="32"/>
        </w:rPr>
        <w:t>一般公共预算拨款支出</w:t>
      </w:r>
      <w:r>
        <w:rPr>
          <w:rFonts w:hint="eastAsia" w:ascii="仿宋" w:hAnsi="仿宋" w:eastAsia="仿宋" w:cs="仿宋_GB2312"/>
          <w:kern w:val="0"/>
          <w:sz w:val="32"/>
          <w:szCs w:val="32"/>
        </w:rPr>
        <w:t>147,429.18</w:t>
      </w:r>
      <w:r>
        <w:rPr>
          <w:rFonts w:hint="eastAsia" w:ascii="仿宋" w:hAnsi="仿宋" w:eastAsia="仿宋" w:cs="宋体"/>
          <w:kern w:val="0"/>
          <w:sz w:val="32"/>
          <w:szCs w:val="32"/>
        </w:rPr>
        <w:t>万元，比2016年决算数增加</w:t>
      </w:r>
      <w:r>
        <w:rPr>
          <w:rFonts w:hint="eastAsia" w:ascii="仿宋" w:hAnsi="仿宋" w:eastAsia="仿宋" w:cs="仿宋_GB2312"/>
          <w:kern w:val="0"/>
          <w:sz w:val="32"/>
          <w:szCs w:val="32"/>
        </w:rPr>
        <w:t>53,186.53</w:t>
      </w:r>
      <w:r>
        <w:rPr>
          <w:rFonts w:hint="eastAsia" w:ascii="仿宋" w:hAnsi="仿宋" w:eastAsia="仿宋" w:cs="宋体"/>
          <w:kern w:val="0"/>
          <w:sz w:val="32"/>
          <w:szCs w:val="32"/>
        </w:rPr>
        <w:t>万元，增长</w:t>
      </w:r>
      <w:r>
        <w:rPr>
          <w:rFonts w:hint="eastAsia" w:ascii="仿宋" w:hAnsi="仿宋" w:eastAsia="仿宋" w:cs="仿宋_GB2312"/>
          <w:kern w:val="0"/>
          <w:sz w:val="32"/>
          <w:szCs w:val="32"/>
        </w:rPr>
        <w:t>56.44</w:t>
      </w:r>
      <w:r>
        <w:rPr>
          <w:rFonts w:hint="eastAsia" w:ascii="仿宋" w:hAnsi="仿宋" w:eastAsia="仿宋" w:cs="宋体"/>
          <w:kern w:val="0"/>
          <w:sz w:val="32"/>
          <w:szCs w:val="32"/>
        </w:rPr>
        <w:t xml:space="preserve">%，具体情况如下： </w:t>
      </w:r>
    </w:p>
    <w:p w14:paraId="2906614B">
      <w:pPr>
        <w:widowControl/>
        <w:spacing w:before="100" w:beforeAutospacing="1" w:after="100" w:afterAutospacing="1" w:line="600" w:lineRule="exac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一）一般行政管理事务845.34万元，较上年决算数增加389.18万元，增长84.95%。主要原因是因对口扶贫工作需要，援疆前方指挥部工作经费预算较上年度增加了70.0万元；因金砖会晤，增加了厦门会晤注册中心办公预算39.01万元、市信息中心行政中心西楼应急视频会议系统改造预算319.74万元等。</w:t>
      </w:r>
    </w:p>
    <w:p w14:paraId="0A291D5C">
      <w:pPr>
        <w:widowControl/>
        <w:spacing w:before="100" w:beforeAutospacing="1" w:after="100" w:afterAutospacing="1" w:line="600" w:lineRule="exac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（二）行政运行2540.43万元，较上年决算数减少177.03万元，下降6.51%。主要原因是市信息消费办工作经费的减少。</w:t>
      </w:r>
    </w:p>
    <w:p w14:paraId="0086C899">
      <w:pPr>
        <w:widowControl/>
        <w:spacing w:before="100" w:beforeAutospacing="1" w:after="100" w:afterAutospacing="1" w:line="600" w:lineRule="exac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（三）事业运行934.77万元，较上年决算数增加71.46万元，增长8.28%。主要原因是市节能监察中心、市信息中心等单位在编人员的增加。</w:t>
      </w:r>
    </w:p>
    <w:p w14:paraId="11E995F4">
      <w:pPr>
        <w:widowControl/>
        <w:spacing w:before="100" w:beforeAutospacing="1" w:after="100" w:afterAutospacing="1" w:line="600" w:lineRule="exac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（四）其他一般公共服务支出9671.92万元，较上年决算数增加9671.92万元。主要原因是新增了金砖会晤筹备所需的信息化项目资金。</w:t>
      </w:r>
    </w:p>
    <w:p w14:paraId="6BD8AA01">
      <w:pPr>
        <w:widowControl/>
        <w:spacing w:before="100" w:beforeAutospacing="1" w:after="100" w:afterAutospacing="1" w:line="600" w:lineRule="exac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（五）其他公共安全支出</w:t>
      </w:r>
      <w:r>
        <w:rPr>
          <w:rFonts w:ascii="仿宋" w:hAnsi="仿宋" w:eastAsia="仿宋" w:cs="宋体"/>
          <w:kern w:val="0"/>
          <w:sz w:val="32"/>
          <w:szCs w:val="32"/>
        </w:rPr>
        <w:t>14831</w:t>
      </w:r>
      <w:r>
        <w:rPr>
          <w:rFonts w:hint="eastAsia" w:ascii="仿宋" w:hAnsi="仿宋" w:eastAsia="仿宋" w:cs="宋体"/>
          <w:kern w:val="0"/>
          <w:sz w:val="32"/>
          <w:szCs w:val="32"/>
        </w:rPr>
        <w:t>万元，较上年决算数增加</w:t>
      </w:r>
      <w:r>
        <w:rPr>
          <w:rFonts w:ascii="仿宋" w:hAnsi="仿宋" w:eastAsia="仿宋" w:cs="宋体"/>
          <w:kern w:val="0"/>
          <w:sz w:val="32"/>
          <w:szCs w:val="32"/>
        </w:rPr>
        <w:t>14831</w:t>
      </w:r>
      <w:r>
        <w:rPr>
          <w:rFonts w:hint="eastAsia" w:ascii="仿宋" w:hAnsi="仿宋" w:eastAsia="仿宋" w:cs="宋体"/>
          <w:kern w:val="0"/>
          <w:sz w:val="32"/>
          <w:szCs w:val="32"/>
        </w:rPr>
        <w:t>万元。主要原因是新增了金砖会晤筹备所需的信息化项目资金。</w:t>
      </w:r>
    </w:p>
    <w:p w14:paraId="07A0868D">
      <w:pPr>
        <w:widowControl/>
        <w:spacing w:before="100" w:beforeAutospacing="1" w:after="100" w:afterAutospacing="1" w:line="600" w:lineRule="exac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（六）其他科技条件与服务支出</w:t>
      </w:r>
      <w:r>
        <w:rPr>
          <w:rFonts w:ascii="仿宋" w:hAnsi="仿宋" w:eastAsia="仿宋" w:cs="宋体"/>
          <w:kern w:val="0"/>
          <w:sz w:val="32"/>
          <w:szCs w:val="32"/>
        </w:rPr>
        <w:t>9828.67</w:t>
      </w:r>
      <w:r>
        <w:rPr>
          <w:rFonts w:hint="eastAsia" w:ascii="仿宋" w:hAnsi="仿宋" w:eastAsia="仿宋" w:cs="宋体"/>
          <w:kern w:val="0"/>
          <w:sz w:val="32"/>
          <w:szCs w:val="32"/>
        </w:rPr>
        <w:t>元，较上年决算数增加166.22万元，增长1.72%。主要原因是信息化项目资金的增加。</w:t>
      </w:r>
    </w:p>
    <w:p w14:paraId="02A850EB">
      <w:pPr>
        <w:widowControl/>
        <w:spacing w:before="100" w:beforeAutospacing="1" w:after="100" w:afterAutospacing="1" w:line="600" w:lineRule="exac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（七）归口管理的行政单位离退休支出</w:t>
      </w:r>
      <w:r>
        <w:rPr>
          <w:rFonts w:ascii="仿宋" w:hAnsi="仿宋" w:eastAsia="仿宋" w:cs="宋体"/>
          <w:kern w:val="0"/>
          <w:sz w:val="32"/>
          <w:szCs w:val="32"/>
        </w:rPr>
        <w:t>533.65</w:t>
      </w:r>
      <w:r>
        <w:rPr>
          <w:rFonts w:hint="eastAsia" w:ascii="仿宋" w:hAnsi="仿宋" w:eastAsia="仿宋" w:cs="宋体"/>
          <w:kern w:val="0"/>
          <w:sz w:val="32"/>
          <w:szCs w:val="32"/>
        </w:rPr>
        <w:t>元，较上年决算数减少39.33万元，下降6.86%。主要原因是机关离退休人员的减少。</w:t>
      </w:r>
    </w:p>
    <w:p w14:paraId="3BB247AC">
      <w:pPr>
        <w:widowControl/>
        <w:spacing w:before="100" w:beforeAutospacing="1" w:after="100" w:afterAutospacing="1" w:line="600" w:lineRule="exac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（八）事业单位离退休支出</w:t>
      </w:r>
      <w:r>
        <w:rPr>
          <w:rFonts w:ascii="仿宋" w:hAnsi="仿宋" w:eastAsia="仿宋" w:cs="宋体"/>
          <w:kern w:val="0"/>
          <w:sz w:val="32"/>
          <w:szCs w:val="32"/>
        </w:rPr>
        <w:t>92.29</w:t>
      </w:r>
      <w:r>
        <w:rPr>
          <w:rFonts w:hint="eastAsia" w:ascii="仿宋" w:hAnsi="仿宋" w:eastAsia="仿宋" w:cs="宋体"/>
          <w:kern w:val="0"/>
          <w:sz w:val="32"/>
          <w:szCs w:val="32"/>
        </w:rPr>
        <w:t>万元，较上年决算数增加57.92万元，增长168.52%。主要原因是事业单位离退休人员的减加。</w:t>
      </w:r>
    </w:p>
    <w:p w14:paraId="7EFA4641">
      <w:pPr>
        <w:widowControl/>
        <w:spacing w:before="100" w:beforeAutospacing="1" w:after="100" w:afterAutospacing="1" w:line="600" w:lineRule="exac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（九）机关事业单位基本养老保险缴费支出</w:t>
      </w:r>
      <w:r>
        <w:rPr>
          <w:rFonts w:ascii="仿宋" w:hAnsi="仿宋" w:eastAsia="仿宋" w:cs="宋体"/>
          <w:kern w:val="0"/>
          <w:sz w:val="32"/>
          <w:szCs w:val="32"/>
        </w:rPr>
        <w:t>405.53</w:t>
      </w:r>
      <w:r>
        <w:rPr>
          <w:rFonts w:hint="eastAsia" w:ascii="仿宋" w:hAnsi="仿宋" w:eastAsia="仿宋" w:cs="宋体"/>
          <w:kern w:val="0"/>
          <w:sz w:val="32"/>
          <w:szCs w:val="32"/>
        </w:rPr>
        <w:t>万元，较上年决算数减少了461.69万元，下降53.24%。主要原因是退休人员部分改由社保中心列支。</w:t>
      </w:r>
    </w:p>
    <w:p w14:paraId="55F2DE99">
      <w:pPr>
        <w:widowControl/>
        <w:spacing w:before="100" w:beforeAutospacing="1" w:after="100" w:afterAutospacing="1" w:line="600" w:lineRule="exac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（十）机关事业单位职业年金缴费支出</w:t>
      </w:r>
      <w:r>
        <w:rPr>
          <w:rFonts w:ascii="仿宋" w:hAnsi="仿宋" w:eastAsia="仿宋" w:cs="宋体"/>
          <w:kern w:val="0"/>
          <w:sz w:val="32"/>
          <w:szCs w:val="32"/>
        </w:rPr>
        <w:t>16.82</w:t>
      </w:r>
      <w:r>
        <w:rPr>
          <w:rFonts w:hint="eastAsia" w:ascii="仿宋" w:hAnsi="仿宋" w:eastAsia="仿宋" w:cs="宋体"/>
          <w:kern w:val="0"/>
          <w:sz w:val="32"/>
          <w:szCs w:val="32"/>
        </w:rPr>
        <w:t>万元，较上年决算数减少了2.37万元，下降12.35%。</w:t>
      </w:r>
    </w:p>
    <w:p w14:paraId="729E9F7D">
      <w:pPr>
        <w:widowControl/>
        <w:spacing w:before="100" w:beforeAutospacing="1" w:after="100" w:afterAutospacing="1" w:line="600" w:lineRule="exac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（十一）行政单位医疗支出67.93万元，较上年决算数增加了3.91万元，增长6.11%。</w:t>
      </w:r>
    </w:p>
    <w:p w14:paraId="08CED188">
      <w:pPr>
        <w:widowControl/>
        <w:spacing w:before="100" w:beforeAutospacing="1" w:after="100" w:afterAutospacing="1" w:line="600" w:lineRule="exac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（十二）事业单位医疗支出64.00万元，较上年决算数减少了5.55万元，下降7.98%。</w:t>
      </w:r>
    </w:p>
    <w:p w14:paraId="4BEDA8DA">
      <w:pPr>
        <w:widowControl/>
        <w:spacing w:before="100" w:beforeAutospacing="1" w:after="100" w:afterAutospacing="1" w:line="600" w:lineRule="exac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（十三）公务员医疗补助支出24.38万元，较上年决算数减少了1.28万元，下降4.99%。</w:t>
      </w:r>
    </w:p>
    <w:p w14:paraId="2F51A65B">
      <w:pPr>
        <w:widowControl/>
        <w:spacing w:before="100" w:beforeAutospacing="1" w:after="100" w:afterAutospacing="1" w:line="600" w:lineRule="exact"/>
        <w:ind w:firstLine="640" w:firstLineChars="200"/>
        <w:jc w:val="left"/>
        <w:rPr>
          <w:rFonts w:hint="eastAsia" w:ascii="仿宋" w:hAnsi="仿宋" w:eastAsia="仿宋" w:cs="宋体"/>
          <w:kern w:val="0"/>
          <w:sz w:val="32"/>
          <w:szCs w:val="32"/>
        </w:rPr>
      </w:pPr>
      <w:r>
        <w:rPr>
          <w:rFonts w:hint="eastAsia" w:ascii="仿宋" w:hAnsi="仿宋" w:eastAsia="仿宋" w:cs="宋体"/>
          <w:kern w:val="0"/>
          <w:sz w:val="32"/>
          <w:szCs w:val="32"/>
        </w:rPr>
        <w:t>（十四）能源节约利用支出</w:t>
      </w:r>
      <w:r>
        <w:rPr>
          <w:rFonts w:ascii="仿宋" w:hAnsi="仿宋" w:eastAsia="仿宋" w:cs="宋体"/>
          <w:kern w:val="0"/>
          <w:sz w:val="32"/>
          <w:szCs w:val="32"/>
        </w:rPr>
        <w:t>11783.28</w:t>
      </w:r>
      <w:r>
        <w:rPr>
          <w:rFonts w:hint="eastAsia" w:ascii="仿宋" w:hAnsi="仿宋" w:eastAsia="仿宋" w:cs="宋体"/>
          <w:kern w:val="0"/>
          <w:sz w:val="32"/>
          <w:szCs w:val="32"/>
        </w:rPr>
        <w:t>万元，较上年决算数减少了166.24万元，下降1.39%。主要原因是预算的减少。</w:t>
      </w:r>
    </w:p>
    <w:p w14:paraId="21600B56">
      <w:pPr>
        <w:widowControl/>
        <w:spacing w:before="100" w:beforeAutospacing="1" w:after="100" w:afterAutospacing="1" w:line="600" w:lineRule="exact"/>
        <w:ind w:firstLine="640" w:firstLineChars="200"/>
        <w:jc w:val="left"/>
        <w:rPr>
          <w:rFonts w:hint="eastAsia" w:ascii="仿宋" w:hAnsi="仿宋" w:eastAsia="仿宋" w:cs="宋体"/>
          <w:kern w:val="0"/>
          <w:sz w:val="32"/>
          <w:szCs w:val="32"/>
        </w:rPr>
      </w:pPr>
      <w:r>
        <w:rPr>
          <w:rFonts w:hint="eastAsia" w:ascii="仿宋" w:hAnsi="仿宋" w:eastAsia="仿宋" w:cs="宋体"/>
          <w:kern w:val="0"/>
          <w:sz w:val="32"/>
          <w:szCs w:val="32"/>
        </w:rPr>
        <w:t>（十五）其他节能环保支出118.96万元，较上年决算数增加108.5万元，增长1037.28%。主要原因是新增了多模型空气质量预报预警系统支出。</w:t>
      </w:r>
    </w:p>
    <w:p w14:paraId="10BC44A7">
      <w:pPr>
        <w:widowControl/>
        <w:spacing w:before="100" w:beforeAutospacing="1" w:after="100" w:afterAutospacing="1" w:line="600" w:lineRule="exact"/>
        <w:ind w:firstLine="640" w:firstLineChars="200"/>
        <w:jc w:val="left"/>
        <w:rPr>
          <w:rFonts w:hint="eastAsia" w:ascii="仿宋" w:hAnsi="仿宋" w:eastAsia="仿宋" w:cs="宋体"/>
          <w:kern w:val="0"/>
          <w:sz w:val="32"/>
          <w:szCs w:val="32"/>
        </w:rPr>
      </w:pPr>
      <w:r>
        <w:rPr>
          <w:rFonts w:hint="eastAsia" w:ascii="仿宋" w:hAnsi="仿宋" w:eastAsia="仿宋" w:cs="宋体"/>
          <w:kern w:val="0"/>
          <w:sz w:val="32"/>
          <w:szCs w:val="32"/>
        </w:rPr>
        <w:t>（十六）城市建设支出2191.94万元，较上年决算数增加2161.13万元，增长7014.38%。主要原因是新增了灾后重建提升行动项目资金支出。</w:t>
      </w:r>
    </w:p>
    <w:p w14:paraId="103236AC">
      <w:pPr>
        <w:widowControl/>
        <w:spacing w:before="100" w:beforeAutospacing="1" w:after="100" w:afterAutospacing="1" w:line="600" w:lineRule="exact"/>
        <w:ind w:firstLine="640" w:firstLineChars="200"/>
        <w:jc w:val="left"/>
        <w:rPr>
          <w:rFonts w:hint="eastAsia" w:ascii="仿宋" w:hAnsi="仿宋" w:eastAsia="仿宋" w:cs="宋体"/>
          <w:kern w:val="0"/>
          <w:sz w:val="32"/>
          <w:szCs w:val="32"/>
        </w:rPr>
      </w:pPr>
      <w:r>
        <w:rPr>
          <w:rFonts w:hint="eastAsia" w:ascii="仿宋" w:hAnsi="仿宋" w:eastAsia="仿宋" w:cs="宋体"/>
          <w:kern w:val="0"/>
          <w:sz w:val="32"/>
          <w:szCs w:val="32"/>
        </w:rPr>
        <w:t>（十七）生产发展支出</w:t>
      </w:r>
      <w:r>
        <w:rPr>
          <w:rFonts w:ascii="仿宋" w:hAnsi="仿宋" w:eastAsia="仿宋" w:cs="宋体"/>
          <w:kern w:val="0"/>
          <w:sz w:val="32"/>
          <w:szCs w:val="32"/>
        </w:rPr>
        <w:t>2575.18</w:t>
      </w:r>
      <w:r>
        <w:rPr>
          <w:rFonts w:hint="eastAsia" w:ascii="仿宋" w:hAnsi="仿宋" w:eastAsia="仿宋" w:cs="宋体"/>
          <w:kern w:val="0"/>
          <w:sz w:val="32"/>
          <w:szCs w:val="32"/>
        </w:rPr>
        <w:t>万元，较上年决算数减少11125.42万元，下降81.2%。主要原因是对口支援与帮扶西藏、新疆经费调整至其他支出科目。</w:t>
      </w:r>
    </w:p>
    <w:p w14:paraId="41AAAF20">
      <w:pPr>
        <w:widowControl/>
        <w:spacing w:before="100" w:beforeAutospacing="1" w:after="100" w:afterAutospacing="1" w:line="600" w:lineRule="exact"/>
        <w:ind w:firstLine="640" w:firstLineChars="200"/>
        <w:jc w:val="left"/>
        <w:rPr>
          <w:rFonts w:hint="eastAsia" w:ascii="仿宋" w:hAnsi="仿宋" w:eastAsia="仿宋" w:cs="宋体"/>
          <w:kern w:val="0"/>
          <w:sz w:val="32"/>
          <w:szCs w:val="32"/>
        </w:rPr>
      </w:pPr>
      <w:r>
        <w:rPr>
          <w:rFonts w:hint="eastAsia" w:ascii="仿宋" w:hAnsi="仿宋" w:eastAsia="仿宋" w:cs="宋体"/>
          <w:kern w:val="0"/>
          <w:sz w:val="32"/>
          <w:szCs w:val="32"/>
        </w:rPr>
        <w:t>（十八）其他交通运输支出53.34万元，较上年决算数增加23.34万元，增长77.8%。主要原因是市信息中心日贷偿债款支出的增加。</w:t>
      </w:r>
    </w:p>
    <w:p w14:paraId="29E8C6C7">
      <w:pPr>
        <w:widowControl/>
        <w:spacing w:before="100" w:beforeAutospacing="1" w:after="100" w:afterAutospacing="1" w:line="600" w:lineRule="exact"/>
        <w:ind w:firstLine="640" w:firstLineChars="200"/>
        <w:jc w:val="left"/>
        <w:rPr>
          <w:rFonts w:hint="eastAsia" w:ascii="仿宋" w:hAnsi="仿宋" w:eastAsia="仿宋" w:cs="宋体"/>
          <w:kern w:val="0"/>
          <w:sz w:val="32"/>
          <w:szCs w:val="32"/>
        </w:rPr>
      </w:pPr>
      <w:r>
        <w:rPr>
          <w:rFonts w:hint="eastAsia" w:ascii="仿宋" w:hAnsi="仿宋" w:eastAsia="仿宋" w:cs="宋体"/>
          <w:kern w:val="0"/>
          <w:sz w:val="32"/>
          <w:szCs w:val="32"/>
        </w:rPr>
        <w:t>（十九）其他制造业支出32622.00万元，较上年决算数增加15947.47万元，增长95.64%。主要原因是该科目下增加了工业投资奖励、工业招商经费、重点人才个税奖励、新材料“首批次”产品奖励、飞机维修业扶持资金、增产增效奖励、新建或改建工业企业房产税和土地使用税奖励等预算。</w:t>
      </w:r>
    </w:p>
    <w:p w14:paraId="49D357D6">
      <w:pPr>
        <w:widowControl/>
        <w:spacing w:before="100" w:beforeAutospacing="1" w:after="100" w:afterAutospacing="1" w:line="600" w:lineRule="exact"/>
        <w:ind w:firstLine="640" w:firstLineChars="200"/>
        <w:jc w:val="left"/>
        <w:rPr>
          <w:rFonts w:hint="eastAsia" w:ascii="仿宋" w:hAnsi="仿宋" w:eastAsia="仿宋" w:cs="宋体"/>
          <w:kern w:val="0"/>
          <w:sz w:val="32"/>
          <w:szCs w:val="32"/>
        </w:rPr>
      </w:pPr>
      <w:r>
        <w:rPr>
          <w:rFonts w:hint="eastAsia" w:ascii="仿宋" w:hAnsi="仿宋" w:eastAsia="仿宋" w:cs="宋体"/>
          <w:kern w:val="0"/>
          <w:sz w:val="32"/>
          <w:szCs w:val="32"/>
        </w:rPr>
        <w:t>（二十）工业和信息产业支持支出</w:t>
      </w:r>
      <w:r>
        <w:rPr>
          <w:rFonts w:ascii="仿宋" w:hAnsi="仿宋" w:eastAsia="仿宋" w:cs="宋体"/>
          <w:kern w:val="0"/>
          <w:sz w:val="32"/>
          <w:szCs w:val="32"/>
        </w:rPr>
        <w:t>4775</w:t>
      </w:r>
      <w:r>
        <w:rPr>
          <w:rFonts w:hint="eastAsia" w:ascii="仿宋" w:hAnsi="仿宋" w:eastAsia="仿宋" w:cs="宋体"/>
          <w:kern w:val="0"/>
          <w:sz w:val="32"/>
          <w:szCs w:val="32"/>
        </w:rPr>
        <w:t>万元，较上年决算数增加4764.35万元，增长44735.68%。主要原因是新增了2017年工业转型升级（中国制造2025）中央专项资金、      2017年福建省互联网经济新增引导资金等预算。</w:t>
      </w:r>
    </w:p>
    <w:p w14:paraId="0C70E3A9">
      <w:pPr>
        <w:widowControl/>
        <w:spacing w:before="100" w:beforeAutospacing="1" w:after="100" w:afterAutospacing="1" w:line="600" w:lineRule="exact"/>
        <w:ind w:firstLine="640" w:firstLineChars="200"/>
        <w:jc w:val="left"/>
        <w:rPr>
          <w:rFonts w:hint="eastAsia" w:ascii="仿宋" w:hAnsi="仿宋" w:eastAsia="仿宋" w:cs="宋体"/>
          <w:kern w:val="0"/>
          <w:sz w:val="32"/>
          <w:szCs w:val="32"/>
        </w:rPr>
      </w:pPr>
      <w:r>
        <w:rPr>
          <w:rFonts w:hint="eastAsia" w:ascii="仿宋" w:hAnsi="仿宋" w:eastAsia="仿宋" w:cs="宋体"/>
          <w:kern w:val="0"/>
          <w:sz w:val="32"/>
          <w:szCs w:val="32"/>
        </w:rPr>
        <w:t>（二十一）其他工业和信息产业监管支出</w:t>
      </w:r>
      <w:r>
        <w:rPr>
          <w:rFonts w:ascii="仿宋" w:hAnsi="仿宋" w:eastAsia="仿宋" w:cs="宋体"/>
          <w:kern w:val="0"/>
          <w:sz w:val="32"/>
          <w:szCs w:val="32"/>
        </w:rPr>
        <w:t>2903.67</w:t>
      </w:r>
      <w:r>
        <w:rPr>
          <w:rFonts w:hint="eastAsia" w:ascii="仿宋" w:hAnsi="仿宋" w:eastAsia="仿宋" w:cs="宋体"/>
          <w:kern w:val="0"/>
          <w:sz w:val="32"/>
          <w:szCs w:val="32"/>
        </w:rPr>
        <w:t>万元，较上年决算数减少2972.60万元，下降50.59%。主要原因是该科目下减少了软件和信息服务业专项业务费预算。</w:t>
      </w:r>
    </w:p>
    <w:p w14:paraId="7429E574">
      <w:pPr>
        <w:widowControl/>
        <w:spacing w:before="100" w:beforeAutospacing="1" w:after="100" w:afterAutospacing="1" w:line="600" w:lineRule="exact"/>
        <w:ind w:firstLine="640" w:firstLineChars="200"/>
        <w:jc w:val="left"/>
        <w:rPr>
          <w:rFonts w:hint="eastAsia" w:ascii="仿宋" w:hAnsi="仿宋" w:eastAsia="仿宋" w:cs="宋体"/>
          <w:kern w:val="0"/>
          <w:sz w:val="32"/>
          <w:szCs w:val="32"/>
        </w:rPr>
      </w:pPr>
      <w:r>
        <w:rPr>
          <w:rFonts w:hint="eastAsia" w:ascii="仿宋" w:hAnsi="仿宋" w:eastAsia="仿宋" w:cs="宋体"/>
          <w:kern w:val="0"/>
          <w:sz w:val="32"/>
          <w:szCs w:val="32"/>
        </w:rPr>
        <w:t>（二十二）其他安全生产监管支出163.00万元，较上年决算数增加了163.00万元。主要原因是该科目新增2016年安全生产预防及应急专项资金（省级）预算，系一次性项目。</w:t>
      </w:r>
    </w:p>
    <w:p w14:paraId="17C9FEF8">
      <w:pPr>
        <w:widowControl/>
        <w:spacing w:before="100" w:beforeAutospacing="1" w:after="100" w:afterAutospacing="1" w:line="600" w:lineRule="exact"/>
        <w:ind w:firstLine="640" w:firstLineChars="200"/>
        <w:jc w:val="left"/>
        <w:rPr>
          <w:rFonts w:hint="eastAsia" w:ascii="仿宋" w:hAnsi="仿宋" w:eastAsia="仿宋" w:cs="宋体"/>
          <w:kern w:val="0"/>
          <w:sz w:val="32"/>
          <w:szCs w:val="32"/>
        </w:rPr>
      </w:pPr>
      <w:r>
        <w:rPr>
          <w:rFonts w:hint="eastAsia" w:ascii="仿宋" w:hAnsi="仿宋" w:eastAsia="仿宋" w:cs="宋体"/>
          <w:kern w:val="0"/>
          <w:sz w:val="32"/>
          <w:szCs w:val="32"/>
        </w:rPr>
        <w:t>（二十三）中小企业发展专项支出9043.22万元，较上年决算数增加687.15万元，增长8.22%。主要原因是上年度部分列入其他支持中小企业发展和管理科目中的中小企业发展专项预算列入本科目。</w:t>
      </w:r>
    </w:p>
    <w:p w14:paraId="253202CF">
      <w:pPr>
        <w:widowControl/>
        <w:spacing w:before="100" w:beforeAutospacing="1" w:after="100" w:afterAutospacing="1" w:line="600" w:lineRule="exact"/>
        <w:ind w:firstLine="640" w:firstLineChars="200"/>
        <w:jc w:val="left"/>
        <w:rPr>
          <w:rFonts w:hint="eastAsia" w:ascii="仿宋" w:hAnsi="仿宋" w:eastAsia="仿宋" w:cs="宋体"/>
          <w:kern w:val="0"/>
          <w:sz w:val="32"/>
          <w:szCs w:val="32"/>
        </w:rPr>
      </w:pPr>
      <w:r>
        <w:rPr>
          <w:rFonts w:hint="eastAsia" w:ascii="仿宋" w:hAnsi="仿宋" w:eastAsia="仿宋" w:cs="宋体"/>
          <w:kern w:val="0"/>
          <w:sz w:val="32"/>
          <w:szCs w:val="32"/>
        </w:rPr>
        <w:t>（二十四）其他支持中小企业发展和管理支出2.93万元，较上年决算数减少1718.25万元，下降99.83%。主要原因是上年度部分列入本科目的中小企业发展专项预算列入中小企业发展专项科目。</w:t>
      </w:r>
    </w:p>
    <w:p w14:paraId="57131671">
      <w:pPr>
        <w:widowControl/>
        <w:spacing w:before="100" w:beforeAutospacing="1" w:after="100" w:afterAutospacing="1" w:line="600" w:lineRule="exact"/>
        <w:ind w:firstLine="640" w:firstLineChars="200"/>
        <w:jc w:val="left"/>
        <w:rPr>
          <w:rFonts w:hint="eastAsia" w:ascii="仿宋" w:hAnsi="仿宋" w:eastAsia="仿宋" w:cs="宋体"/>
          <w:kern w:val="0"/>
          <w:sz w:val="32"/>
          <w:szCs w:val="32"/>
        </w:rPr>
      </w:pPr>
      <w:r>
        <w:rPr>
          <w:rFonts w:hint="eastAsia" w:ascii="仿宋" w:hAnsi="仿宋" w:eastAsia="仿宋" w:cs="宋体"/>
          <w:kern w:val="0"/>
          <w:sz w:val="32"/>
          <w:szCs w:val="32"/>
        </w:rPr>
        <w:t>（二十五）其他资源勘探信息等支出</w:t>
      </w:r>
      <w:r>
        <w:rPr>
          <w:rFonts w:ascii="仿宋" w:hAnsi="仿宋" w:eastAsia="仿宋" w:cs="宋体"/>
          <w:kern w:val="0"/>
          <w:sz w:val="32"/>
          <w:szCs w:val="32"/>
        </w:rPr>
        <w:t>23151.2</w:t>
      </w:r>
      <w:r>
        <w:rPr>
          <w:rFonts w:hint="eastAsia" w:ascii="仿宋" w:hAnsi="仿宋" w:eastAsia="仿宋" w:cs="宋体"/>
          <w:kern w:val="0"/>
          <w:sz w:val="32"/>
          <w:szCs w:val="32"/>
        </w:rPr>
        <w:t>万元，较上年决算数增加5304.69万元，增长29.72%。主要原因是产业转型升级专项、物联网产业扶持资金预算的增加，新增了      省级工业和信息化发展资金预算。</w:t>
      </w:r>
    </w:p>
    <w:p w14:paraId="6F3A6C06">
      <w:pPr>
        <w:widowControl/>
        <w:spacing w:before="100" w:beforeAutospacing="1" w:after="100" w:afterAutospacing="1" w:line="600" w:lineRule="exact"/>
        <w:ind w:firstLine="640" w:firstLineChars="200"/>
        <w:jc w:val="left"/>
        <w:rPr>
          <w:rFonts w:hint="eastAsia" w:ascii="仿宋" w:hAnsi="仿宋" w:eastAsia="仿宋" w:cs="宋体"/>
          <w:kern w:val="0"/>
          <w:sz w:val="32"/>
          <w:szCs w:val="32"/>
        </w:rPr>
      </w:pPr>
      <w:r>
        <w:rPr>
          <w:rFonts w:hint="eastAsia" w:ascii="仿宋" w:hAnsi="仿宋" w:eastAsia="仿宋" w:cs="宋体"/>
          <w:kern w:val="0"/>
          <w:sz w:val="32"/>
          <w:szCs w:val="32"/>
        </w:rPr>
        <w:t>（二十六）其他商业流通事务支出1297.99万元，较上年决算数增加780.34万元，增长150.75%。主要原因是列支了2016年度结转的中央下达服务业发展资金。</w:t>
      </w:r>
    </w:p>
    <w:p w14:paraId="7FC6D04D">
      <w:pPr>
        <w:widowControl/>
        <w:spacing w:before="100" w:beforeAutospacing="1" w:after="100" w:afterAutospacing="1" w:line="600" w:lineRule="exact"/>
        <w:ind w:firstLine="640" w:firstLineChars="200"/>
        <w:jc w:val="left"/>
        <w:rPr>
          <w:rFonts w:hint="eastAsia" w:ascii="仿宋" w:hAnsi="仿宋" w:eastAsia="仿宋" w:cs="宋体"/>
          <w:kern w:val="0"/>
          <w:sz w:val="32"/>
          <w:szCs w:val="32"/>
        </w:rPr>
      </w:pPr>
      <w:r>
        <w:rPr>
          <w:rFonts w:hint="eastAsia" w:ascii="仿宋" w:hAnsi="仿宋" w:eastAsia="仿宋" w:cs="宋体"/>
          <w:kern w:val="0"/>
          <w:sz w:val="32"/>
          <w:szCs w:val="32"/>
        </w:rPr>
        <w:t>（二十七）其他商业服务业等支出</w:t>
      </w:r>
      <w:r>
        <w:rPr>
          <w:rFonts w:ascii="仿宋" w:hAnsi="仿宋" w:eastAsia="仿宋" w:cs="宋体"/>
          <w:kern w:val="0"/>
          <w:sz w:val="32"/>
          <w:szCs w:val="32"/>
        </w:rPr>
        <w:t>4689</w:t>
      </w:r>
      <w:r>
        <w:rPr>
          <w:rFonts w:hint="eastAsia" w:ascii="仿宋" w:hAnsi="仿宋" w:eastAsia="仿宋" w:cs="宋体"/>
          <w:kern w:val="0"/>
          <w:sz w:val="32"/>
          <w:szCs w:val="32"/>
        </w:rPr>
        <w:t>.00万元，较上年决算数减少了657.89万元，下降12.30%。主要原因是现代服务业综合试点项目、现代服务业中央专款预算的减少。</w:t>
      </w:r>
    </w:p>
    <w:p w14:paraId="75915262">
      <w:pPr>
        <w:widowControl/>
        <w:spacing w:before="100" w:beforeAutospacing="1" w:after="100" w:afterAutospacing="1" w:line="600" w:lineRule="exact"/>
        <w:ind w:firstLine="640" w:firstLineChars="200"/>
        <w:jc w:val="left"/>
        <w:rPr>
          <w:rFonts w:hint="eastAsia" w:ascii="仿宋" w:hAnsi="仿宋" w:eastAsia="仿宋" w:cs="宋体"/>
          <w:kern w:val="0"/>
          <w:sz w:val="32"/>
          <w:szCs w:val="32"/>
        </w:rPr>
      </w:pPr>
      <w:r>
        <w:rPr>
          <w:rFonts w:hint="eastAsia" w:ascii="仿宋" w:hAnsi="仿宋" w:eastAsia="仿宋" w:cs="宋体"/>
          <w:kern w:val="0"/>
          <w:sz w:val="32"/>
          <w:szCs w:val="32"/>
        </w:rPr>
        <w:t>（二十八）其他支出</w:t>
      </w:r>
      <w:r>
        <w:rPr>
          <w:rFonts w:ascii="仿宋" w:hAnsi="仿宋" w:eastAsia="仿宋" w:cs="宋体"/>
          <w:kern w:val="0"/>
          <w:sz w:val="32"/>
          <w:szCs w:val="32"/>
        </w:rPr>
        <w:t>148</w:t>
      </w:r>
      <w:r>
        <w:rPr>
          <w:rFonts w:hint="eastAsia" w:ascii="仿宋" w:hAnsi="仿宋" w:eastAsia="仿宋" w:cs="宋体"/>
          <w:kern w:val="0"/>
          <w:sz w:val="32"/>
          <w:szCs w:val="32"/>
        </w:rPr>
        <w:t>68.92万元，较上年决算数增加了14717.04万元，增长9651.78%。主要原因是2017年该科目下列入了对口支援与帮扶西藏、新疆经费预算。</w:t>
      </w:r>
    </w:p>
    <w:p w14:paraId="5215922A">
      <w:pPr>
        <w:widowControl/>
        <w:spacing w:before="100" w:beforeAutospacing="1" w:after="100" w:afterAutospacing="1" w:line="600" w:lineRule="exact"/>
        <w:ind w:firstLine="640" w:firstLineChars="200"/>
        <w:jc w:val="left"/>
        <w:rPr>
          <w:rFonts w:hint="eastAsia" w:ascii="仿宋" w:hAnsi="仿宋" w:eastAsia="仿宋" w:cs="宋体"/>
          <w:kern w:val="0"/>
          <w:sz w:val="32"/>
          <w:szCs w:val="32"/>
        </w:rPr>
      </w:pPr>
      <w:r>
        <w:rPr>
          <w:rFonts w:hint="eastAsia" w:ascii="仿宋" w:hAnsi="仿宋" w:eastAsia="仿宋" w:cs="宋体"/>
          <w:kern w:val="0"/>
          <w:sz w:val="32"/>
          <w:szCs w:val="32"/>
        </w:rPr>
        <w:t>（二十九）其他重要商品储备支出121.00万元，较上年决算数增加了121.00万元。主要原因是预算指标归口，2017年本科目下列入了2016年度市级医药储备费用补贴预算（该预算系新增预算）。</w:t>
      </w:r>
    </w:p>
    <w:p w14:paraId="72B9E145">
      <w:pPr>
        <w:widowControl/>
        <w:spacing w:before="100" w:beforeAutospacing="1" w:after="100" w:afterAutospacing="1" w:line="600" w:lineRule="exac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（三十）地方政府其他一般债务付息支出52.46万元，较上年决算数增加了52.46万元。主要原因是市信息中心新增了日贷偿债款支出52.46万元。</w:t>
      </w:r>
    </w:p>
    <w:p w14:paraId="6E0AABA2">
      <w:pPr>
        <w:widowControl/>
        <w:tabs>
          <w:tab w:val="left" w:pos="7513"/>
        </w:tabs>
        <w:adjustRightInd w:val="0"/>
        <w:snapToGrid w:val="0"/>
        <w:spacing w:before="100" w:beforeAutospacing="1" w:after="100" w:afterAutospacing="1" w:line="600" w:lineRule="exact"/>
        <w:ind w:firstLine="640" w:firstLineChars="200"/>
        <w:jc w:val="left"/>
        <w:rPr>
          <w:rFonts w:ascii="宋体" w:hAnsi="宋体" w:eastAsia="宋体" w:cs="宋体"/>
          <w:kern w:val="0"/>
          <w:sz w:val="24"/>
          <w:szCs w:val="24"/>
        </w:rPr>
      </w:pPr>
      <w:r>
        <w:rPr>
          <w:rFonts w:hint="eastAsia" w:ascii="黑体" w:hAnsi="宋体" w:eastAsia="黑体" w:cs="仿宋_GB2312"/>
          <w:bCs/>
          <w:kern w:val="0"/>
          <w:sz w:val="32"/>
          <w:szCs w:val="32"/>
        </w:rPr>
        <w:t>六、政府性基金支出决算情况</w:t>
      </w:r>
    </w:p>
    <w:p w14:paraId="5CD130F1">
      <w:pPr>
        <w:widowControl/>
        <w:tabs>
          <w:tab w:val="left" w:pos="7513"/>
        </w:tabs>
        <w:adjustRightInd w:val="0"/>
        <w:snapToGrid w:val="0"/>
        <w:spacing w:before="100" w:beforeAutospacing="1" w:after="100" w:afterAutospacing="1" w:line="600" w:lineRule="exact"/>
        <w:ind w:firstLine="704" w:firstLineChars="220"/>
        <w:jc w:val="left"/>
        <w:rPr>
          <w:rFonts w:ascii="仿宋" w:hAnsi="仿宋" w:eastAsia="仿宋" w:cs="宋体"/>
          <w:kern w:val="0"/>
          <w:sz w:val="32"/>
          <w:szCs w:val="32"/>
        </w:rPr>
      </w:pPr>
      <w:r>
        <w:rPr>
          <w:rFonts w:hint="eastAsia" w:ascii="仿宋" w:hAnsi="仿宋" w:eastAsia="仿宋" w:cs="仿宋_GB2312"/>
          <w:kern w:val="0"/>
          <w:sz w:val="32"/>
          <w:szCs w:val="32"/>
        </w:rPr>
        <w:t>2017年度政府性基金支出2,722.02万元，比</w:t>
      </w:r>
      <w:r>
        <w:rPr>
          <w:rFonts w:hint="eastAsia" w:ascii="仿宋" w:hAnsi="仿宋" w:eastAsia="仿宋" w:cs="宋体"/>
          <w:kern w:val="0"/>
          <w:sz w:val="32"/>
          <w:szCs w:val="32"/>
        </w:rPr>
        <w:t>2016年</w:t>
      </w:r>
      <w:r>
        <w:rPr>
          <w:rFonts w:hint="eastAsia" w:ascii="仿宋" w:hAnsi="仿宋" w:eastAsia="仿宋" w:cs="仿宋_GB2312"/>
          <w:kern w:val="0"/>
          <w:sz w:val="32"/>
          <w:szCs w:val="32"/>
        </w:rPr>
        <w:t>决算数减少2,128.74万元，下降358.81%，具体情况如下：</w:t>
      </w:r>
      <w:r>
        <w:rPr>
          <w:rFonts w:hint="eastAsia" w:ascii="仿宋" w:hAnsi="仿宋" w:eastAsia="仿宋" w:cs="宋体"/>
          <w:kern w:val="0"/>
          <w:sz w:val="32"/>
          <w:szCs w:val="32"/>
        </w:rPr>
        <w:t xml:space="preserve"> </w:t>
      </w:r>
    </w:p>
    <w:p w14:paraId="26F31A23">
      <w:pPr>
        <w:widowControl/>
        <w:tabs>
          <w:tab w:val="left" w:pos="7513"/>
        </w:tabs>
        <w:adjustRightInd w:val="0"/>
        <w:snapToGrid w:val="0"/>
        <w:spacing w:before="100" w:beforeAutospacing="1" w:after="100" w:afterAutospacing="1" w:line="600" w:lineRule="exact"/>
        <w:ind w:firstLine="704" w:firstLineChars="220"/>
        <w:jc w:val="left"/>
        <w:rPr>
          <w:rFonts w:ascii="仿宋" w:hAnsi="仿宋" w:eastAsia="仿宋" w:cs="宋体"/>
          <w:kern w:val="0"/>
          <w:sz w:val="32"/>
          <w:szCs w:val="32"/>
        </w:rPr>
      </w:pPr>
      <w:r>
        <w:rPr>
          <w:rFonts w:hint="eastAsia" w:ascii="仿宋" w:hAnsi="仿宋" w:eastAsia="仿宋" w:cs="仿宋_GB2312"/>
          <w:kern w:val="0"/>
          <w:sz w:val="32"/>
          <w:szCs w:val="32"/>
        </w:rPr>
        <w:t>（一）宣传支出</w:t>
      </w:r>
      <w:r>
        <w:rPr>
          <w:rFonts w:hint="eastAsia" w:ascii="仿宋" w:hAnsi="仿宋" w:eastAsia="仿宋" w:cs="宋体"/>
          <w:kern w:val="0"/>
          <w:sz w:val="32"/>
          <w:szCs w:val="32"/>
        </w:rPr>
        <w:t>0.00</w:t>
      </w:r>
      <w:r>
        <w:rPr>
          <w:rFonts w:hint="eastAsia" w:ascii="仿宋" w:hAnsi="仿宋" w:eastAsia="仿宋" w:cs="仿宋_GB2312"/>
          <w:kern w:val="0"/>
          <w:sz w:val="32"/>
          <w:szCs w:val="32"/>
        </w:rPr>
        <w:t>万元，较</w:t>
      </w:r>
      <w:r>
        <w:rPr>
          <w:rFonts w:hint="eastAsia" w:ascii="仿宋" w:hAnsi="仿宋" w:eastAsia="仿宋" w:cs="宋体"/>
          <w:kern w:val="0"/>
          <w:sz w:val="32"/>
          <w:szCs w:val="32"/>
        </w:rPr>
        <w:t>上</w:t>
      </w:r>
      <w:r>
        <w:rPr>
          <w:rFonts w:hint="eastAsia" w:ascii="仿宋" w:hAnsi="仿宋" w:eastAsia="仿宋" w:cs="仿宋_GB2312"/>
          <w:kern w:val="0"/>
          <w:sz w:val="32"/>
          <w:szCs w:val="32"/>
        </w:rPr>
        <w:t>年决算数减少19.55万元，下降100.00%。主要原因是2017年度该预算不再于政府性基金列支。</w:t>
      </w:r>
    </w:p>
    <w:p w14:paraId="4D0AD925">
      <w:pPr>
        <w:widowControl/>
        <w:tabs>
          <w:tab w:val="left" w:pos="7513"/>
        </w:tabs>
        <w:adjustRightInd w:val="0"/>
        <w:snapToGrid w:val="0"/>
        <w:spacing w:before="100" w:beforeAutospacing="1" w:after="100" w:afterAutospacing="1" w:line="600" w:lineRule="exact"/>
        <w:ind w:firstLine="704" w:firstLineChars="220"/>
        <w:jc w:val="left"/>
        <w:rPr>
          <w:rFonts w:ascii="仿宋" w:hAnsi="仿宋" w:eastAsia="仿宋" w:cs="宋体"/>
          <w:kern w:val="0"/>
          <w:sz w:val="32"/>
          <w:szCs w:val="32"/>
        </w:rPr>
      </w:pPr>
      <w:r>
        <w:rPr>
          <w:rFonts w:hint="eastAsia" w:ascii="仿宋" w:hAnsi="仿宋" w:eastAsia="仿宋" w:cs="仿宋_GB2312"/>
          <w:kern w:val="0"/>
          <w:sz w:val="32"/>
          <w:szCs w:val="32"/>
        </w:rPr>
        <w:t>（二）其他散装水泥专项资金支出</w:t>
      </w:r>
      <w:r>
        <w:rPr>
          <w:rFonts w:hint="eastAsia" w:ascii="仿宋" w:hAnsi="仿宋" w:eastAsia="仿宋" w:cs="宋体"/>
          <w:kern w:val="0"/>
          <w:sz w:val="32"/>
          <w:szCs w:val="32"/>
        </w:rPr>
        <w:t>0.00</w:t>
      </w:r>
      <w:r>
        <w:rPr>
          <w:rFonts w:hint="eastAsia" w:ascii="仿宋" w:hAnsi="仿宋" w:eastAsia="仿宋" w:cs="仿宋_GB2312"/>
          <w:kern w:val="0"/>
          <w:sz w:val="32"/>
          <w:szCs w:val="32"/>
        </w:rPr>
        <w:t>万元，较</w:t>
      </w:r>
      <w:r>
        <w:rPr>
          <w:rFonts w:hint="eastAsia" w:ascii="仿宋" w:hAnsi="仿宋" w:eastAsia="仿宋" w:cs="宋体"/>
          <w:kern w:val="0"/>
          <w:sz w:val="32"/>
          <w:szCs w:val="32"/>
        </w:rPr>
        <w:t>上</w:t>
      </w:r>
      <w:r>
        <w:rPr>
          <w:rFonts w:hint="eastAsia" w:ascii="仿宋" w:hAnsi="仿宋" w:eastAsia="仿宋" w:cs="仿宋_GB2312"/>
          <w:kern w:val="0"/>
          <w:sz w:val="32"/>
          <w:szCs w:val="32"/>
        </w:rPr>
        <w:t>年决算数减少</w:t>
      </w:r>
      <w:r>
        <w:rPr>
          <w:rFonts w:hint="eastAsia" w:ascii="仿宋" w:hAnsi="仿宋" w:eastAsia="仿宋" w:cs="宋体"/>
          <w:kern w:val="0"/>
          <w:sz w:val="32"/>
          <w:szCs w:val="32"/>
        </w:rPr>
        <w:t>492.92</w:t>
      </w:r>
      <w:r>
        <w:rPr>
          <w:rFonts w:hint="eastAsia" w:ascii="仿宋" w:hAnsi="仿宋" w:eastAsia="仿宋" w:cs="仿宋_GB2312"/>
          <w:kern w:val="0"/>
          <w:sz w:val="32"/>
          <w:szCs w:val="32"/>
        </w:rPr>
        <w:t>万元，下降100.00%。主要原因是2017年度该预算不再于政府性基金列支。</w:t>
      </w:r>
    </w:p>
    <w:p w14:paraId="3B04CD95">
      <w:pPr>
        <w:widowControl/>
        <w:spacing w:before="100" w:beforeAutospacing="1" w:after="100" w:afterAutospacing="1" w:line="600" w:lineRule="exact"/>
        <w:ind w:firstLine="640" w:firstLineChars="200"/>
        <w:jc w:val="left"/>
        <w:rPr>
          <w:rFonts w:hint="eastAsia" w:ascii="仿宋" w:hAnsi="仿宋" w:eastAsia="仿宋" w:cs="宋体"/>
          <w:kern w:val="0"/>
          <w:sz w:val="32"/>
          <w:szCs w:val="32"/>
        </w:rPr>
      </w:pPr>
      <w:r>
        <w:rPr>
          <w:rFonts w:hint="eastAsia" w:ascii="仿宋" w:hAnsi="仿宋" w:eastAsia="仿宋" w:cs="宋体"/>
          <w:kern w:val="0"/>
          <w:sz w:val="32"/>
          <w:szCs w:val="32"/>
        </w:rPr>
        <w:t>（二十五）其他新型墙体材料专项基金支出</w:t>
      </w:r>
      <w:r>
        <w:rPr>
          <w:rFonts w:ascii="仿宋" w:hAnsi="仿宋" w:eastAsia="仿宋" w:cs="宋体"/>
          <w:kern w:val="0"/>
          <w:sz w:val="32"/>
          <w:szCs w:val="32"/>
        </w:rPr>
        <w:t>530.08</w:t>
      </w:r>
      <w:r>
        <w:rPr>
          <w:rFonts w:hint="eastAsia" w:ascii="仿宋" w:hAnsi="仿宋" w:eastAsia="仿宋" w:cs="宋体"/>
          <w:kern w:val="0"/>
          <w:sz w:val="32"/>
          <w:szCs w:val="32"/>
        </w:rPr>
        <w:t>万元，较上年决算数增加</w:t>
      </w:r>
      <w:r>
        <w:rPr>
          <w:rFonts w:ascii="仿宋" w:hAnsi="仿宋" w:eastAsia="仿宋" w:cs="宋体"/>
          <w:kern w:val="0"/>
          <w:sz w:val="32"/>
          <w:szCs w:val="32"/>
        </w:rPr>
        <w:t>530.08</w:t>
      </w:r>
      <w:r>
        <w:rPr>
          <w:rFonts w:hint="eastAsia" w:ascii="仿宋" w:hAnsi="仿宋" w:eastAsia="仿宋" w:cs="宋体"/>
          <w:kern w:val="0"/>
          <w:sz w:val="32"/>
          <w:szCs w:val="32"/>
        </w:rPr>
        <w:t>万元。主要原因本项系2017年新增预算。</w:t>
      </w:r>
    </w:p>
    <w:p w14:paraId="0D37A6A0">
      <w:pPr>
        <w:widowControl/>
        <w:tabs>
          <w:tab w:val="left" w:pos="7513"/>
        </w:tabs>
        <w:adjustRightInd w:val="0"/>
        <w:snapToGrid w:val="0"/>
        <w:spacing w:before="100" w:beforeAutospacing="1" w:after="100" w:afterAutospacing="1" w:line="600" w:lineRule="exact"/>
        <w:ind w:firstLine="640" w:firstLineChars="200"/>
        <w:jc w:val="left"/>
        <w:rPr>
          <w:rFonts w:ascii="宋体" w:hAnsi="宋体" w:eastAsia="宋体" w:cs="宋体"/>
          <w:kern w:val="0"/>
          <w:sz w:val="24"/>
          <w:szCs w:val="24"/>
        </w:rPr>
      </w:pPr>
      <w:r>
        <w:rPr>
          <w:rFonts w:hint="eastAsia" w:ascii="黑体" w:hAnsi="宋体" w:eastAsia="黑体" w:cs="仿宋_GB2312"/>
          <w:bCs/>
          <w:kern w:val="0"/>
          <w:sz w:val="32"/>
          <w:szCs w:val="32"/>
        </w:rPr>
        <w:t>七、“三公”经费公共财政拨款支出决算情况</w:t>
      </w:r>
    </w:p>
    <w:p w14:paraId="4DF79847">
      <w:pPr>
        <w:widowControl/>
        <w:tabs>
          <w:tab w:val="left" w:pos="7513"/>
        </w:tabs>
        <w:adjustRightInd w:val="0"/>
        <w:snapToGrid w:val="0"/>
        <w:spacing w:before="100" w:beforeAutospacing="1" w:after="100" w:afterAutospacing="1" w:line="600" w:lineRule="exact"/>
        <w:ind w:firstLine="640" w:firstLineChars="200"/>
        <w:jc w:val="left"/>
        <w:rPr>
          <w:rFonts w:ascii="仿宋" w:hAnsi="仿宋" w:eastAsia="仿宋" w:cs="宋体"/>
          <w:kern w:val="0"/>
          <w:sz w:val="32"/>
          <w:szCs w:val="32"/>
        </w:rPr>
      </w:pPr>
      <w:r>
        <w:rPr>
          <w:rFonts w:hint="eastAsia" w:ascii="仿宋" w:hAnsi="仿宋" w:eastAsia="仿宋" w:cs="仿宋_GB2312"/>
          <w:kern w:val="0"/>
          <w:sz w:val="32"/>
          <w:szCs w:val="32"/>
        </w:rPr>
        <w:t>1.2017年</w:t>
      </w:r>
      <w:r>
        <w:rPr>
          <w:rFonts w:ascii="仿宋" w:hAnsi="仿宋" w:eastAsia="仿宋" w:cs="仿宋_GB2312"/>
          <w:kern w:val="0"/>
          <w:sz w:val="32"/>
          <w:szCs w:val="32"/>
        </w:rPr>
        <w:t>“</w:t>
      </w:r>
      <w:r>
        <w:rPr>
          <w:rFonts w:hint="eastAsia" w:ascii="仿宋" w:hAnsi="仿宋" w:eastAsia="仿宋" w:cs="仿宋_GB2312"/>
          <w:kern w:val="0"/>
          <w:sz w:val="32"/>
          <w:szCs w:val="32"/>
        </w:rPr>
        <w:t>三公</w:t>
      </w:r>
      <w:r>
        <w:rPr>
          <w:rFonts w:ascii="仿宋" w:hAnsi="仿宋" w:eastAsia="仿宋" w:cs="仿宋_GB2312"/>
          <w:kern w:val="0"/>
          <w:sz w:val="32"/>
          <w:szCs w:val="32"/>
        </w:rPr>
        <w:t>”</w:t>
      </w:r>
      <w:r>
        <w:rPr>
          <w:rFonts w:hint="eastAsia" w:ascii="仿宋" w:hAnsi="仿宋" w:eastAsia="仿宋" w:cs="仿宋_GB2312"/>
          <w:kern w:val="0"/>
          <w:sz w:val="32"/>
          <w:szCs w:val="32"/>
        </w:rPr>
        <w:t>经费公共财政拨款预算125.09万元，支出决算73.81万元，完成预算的-40.99%，同比增长36.83%。主要原因是因公出国（境）费、接待费用的增长。具体情况如下：</w:t>
      </w:r>
    </w:p>
    <w:p w14:paraId="4F121CC3">
      <w:pPr>
        <w:widowControl/>
        <w:tabs>
          <w:tab w:val="left" w:pos="7513"/>
        </w:tabs>
        <w:adjustRightInd w:val="0"/>
        <w:snapToGrid w:val="0"/>
        <w:spacing w:before="100" w:beforeAutospacing="1" w:after="100" w:afterAutospacing="1" w:line="600" w:lineRule="exact"/>
        <w:ind w:firstLine="640" w:firstLineChars="200"/>
        <w:jc w:val="left"/>
        <w:rPr>
          <w:rFonts w:ascii="仿宋" w:hAnsi="仿宋" w:eastAsia="仿宋" w:cs="仿宋_GB2312"/>
          <w:kern w:val="0"/>
          <w:sz w:val="32"/>
          <w:szCs w:val="32"/>
        </w:rPr>
      </w:pPr>
      <w:r>
        <w:rPr>
          <w:rFonts w:hint="eastAsia" w:ascii="仿宋" w:hAnsi="仿宋" w:eastAsia="仿宋" w:cs="仿宋_GB2312"/>
          <w:kern w:val="0"/>
          <w:sz w:val="32"/>
          <w:szCs w:val="32"/>
        </w:rPr>
        <w:t>（一）因公出国（境）费32.92万元，</w:t>
      </w:r>
      <w:r>
        <w:rPr>
          <w:rFonts w:hint="eastAsia" w:ascii="仿宋" w:hAnsi="仿宋" w:eastAsia="仿宋" w:cs="仿宋_GB2312"/>
          <w:sz w:val="32"/>
          <w:szCs w:val="32"/>
        </w:rPr>
        <w:t>主要用于学习欧洲中小企业服务方式，了解中小企业新能源普及、机器人智能化等相关技术发展情况，学习北欧发展工业设计的先进经验；拜访萨格勒布国际动画节、参加昂西动漫节等</w:t>
      </w:r>
      <w:r>
        <w:rPr>
          <w:rFonts w:hint="eastAsia" w:ascii="仿宋" w:hAnsi="仿宋" w:eastAsia="仿宋" w:cs="仿宋_GB2312"/>
          <w:kern w:val="0"/>
          <w:sz w:val="32"/>
          <w:szCs w:val="32"/>
        </w:rPr>
        <w:t>。2017年本单位组织出国团组8 个，参加其他单位出国团组0个；全年因公出国（境）累计14人次。与2016年相比, 因公出国（境）经费支出增长105.35 %，主要原因是2016年度部分出国计划延期至2017年。</w:t>
      </w:r>
    </w:p>
    <w:p w14:paraId="00B6E30A">
      <w:pPr>
        <w:widowControl/>
        <w:tabs>
          <w:tab w:val="left" w:pos="7513"/>
        </w:tabs>
        <w:adjustRightInd w:val="0"/>
        <w:snapToGrid w:val="0"/>
        <w:spacing w:before="100" w:beforeAutospacing="1" w:after="100" w:afterAutospacing="1" w:line="600" w:lineRule="exact"/>
        <w:ind w:firstLine="640" w:firstLineChars="200"/>
        <w:jc w:val="left"/>
        <w:rPr>
          <w:rFonts w:ascii="仿宋" w:hAnsi="仿宋" w:eastAsia="仿宋" w:cs="宋体"/>
          <w:kern w:val="0"/>
          <w:sz w:val="32"/>
          <w:szCs w:val="32"/>
        </w:rPr>
      </w:pPr>
      <w:r>
        <w:rPr>
          <w:rFonts w:hint="eastAsia" w:ascii="仿宋" w:hAnsi="仿宋" w:eastAsia="仿宋" w:cs="仿宋_GB2312"/>
          <w:kern w:val="0"/>
          <w:sz w:val="32"/>
          <w:szCs w:val="32"/>
        </w:rPr>
        <w:t>（二）公务用车购置及运行费33.62万元。其中：公务用车购置费 0.00万元，2017年公务用车购置</w:t>
      </w:r>
      <w:r>
        <w:rPr>
          <w:rFonts w:ascii="仿宋" w:hAnsi="仿宋" w:eastAsia="仿宋" w:cs="仿宋_GB2312"/>
          <w:kern w:val="0"/>
          <w:sz w:val="32"/>
          <w:szCs w:val="32"/>
        </w:rPr>
        <w:t>0</w:t>
      </w:r>
      <w:r>
        <w:rPr>
          <w:rFonts w:hint="eastAsia" w:ascii="仿宋" w:hAnsi="仿宋" w:eastAsia="仿宋" w:cs="仿宋_GB2312"/>
          <w:kern w:val="0"/>
          <w:sz w:val="32"/>
          <w:szCs w:val="32"/>
        </w:rPr>
        <w:t xml:space="preserve"> 辆。公务用车运行费</w:t>
      </w:r>
      <w:r>
        <w:rPr>
          <w:rFonts w:ascii="仿宋" w:hAnsi="仿宋" w:eastAsia="仿宋" w:cs="仿宋_GB2312"/>
          <w:kern w:val="0"/>
          <w:sz w:val="32"/>
          <w:szCs w:val="32"/>
        </w:rPr>
        <w:t>33.62</w:t>
      </w:r>
      <w:r>
        <w:rPr>
          <w:rFonts w:hint="eastAsia" w:ascii="仿宋" w:hAnsi="仿宋" w:eastAsia="仿宋" w:cs="仿宋_GB2312"/>
          <w:kern w:val="0"/>
          <w:sz w:val="32"/>
          <w:szCs w:val="32"/>
        </w:rPr>
        <w:t>万元，主要用于公务用车燃油、维修、保险等方面支出，年末公务用车保有量</w:t>
      </w:r>
      <w:r>
        <w:rPr>
          <w:rFonts w:ascii="仿宋" w:hAnsi="仿宋" w:eastAsia="仿宋" w:cs="仿宋_GB2312"/>
          <w:kern w:val="0"/>
          <w:sz w:val="32"/>
          <w:szCs w:val="32"/>
        </w:rPr>
        <w:t>18</w:t>
      </w:r>
      <w:r>
        <w:rPr>
          <w:rFonts w:hint="eastAsia" w:ascii="仿宋" w:hAnsi="仿宋" w:eastAsia="仿宋" w:cs="仿宋_GB2312"/>
          <w:kern w:val="0"/>
          <w:sz w:val="32"/>
          <w:szCs w:val="32"/>
        </w:rPr>
        <w:t xml:space="preserve"> 辆。与2016年相比，公务用车购置费持平、公务用车运行费下降</w:t>
      </w:r>
      <w:r>
        <w:rPr>
          <w:rFonts w:hint="eastAsia" w:ascii="仿宋" w:hAnsi="仿宋" w:eastAsia="仿宋" w:cs="宋体"/>
          <w:kern w:val="0"/>
          <w:sz w:val="32"/>
          <w:szCs w:val="32"/>
        </w:rPr>
        <w:t>3.44%</w:t>
      </w:r>
      <w:r>
        <w:rPr>
          <w:rFonts w:hint="eastAsia" w:ascii="仿宋" w:hAnsi="仿宋" w:eastAsia="仿宋" w:cs="仿宋_GB2312"/>
          <w:kern w:val="0"/>
          <w:sz w:val="32"/>
          <w:szCs w:val="32"/>
        </w:rPr>
        <w:t>，主要原因是开支的节约。</w:t>
      </w:r>
    </w:p>
    <w:p w14:paraId="722F287F">
      <w:pPr>
        <w:widowControl/>
        <w:tabs>
          <w:tab w:val="left" w:pos="7513"/>
        </w:tabs>
        <w:adjustRightInd w:val="0"/>
        <w:snapToGrid w:val="0"/>
        <w:spacing w:before="100" w:beforeAutospacing="1" w:after="100" w:afterAutospacing="1" w:line="600" w:lineRule="exact"/>
        <w:ind w:firstLine="640" w:firstLineChars="200"/>
        <w:jc w:val="left"/>
        <w:rPr>
          <w:rFonts w:ascii="仿宋" w:hAnsi="仿宋" w:eastAsia="仿宋" w:cs="宋体"/>
          <w:kern w:val="0"/>
          <w:sz w:val="32"/>
          <w:szCs w:val="32"/>
        </w:rPr>
      </w:pPr>
      <w:r>
        <w:rPr>
          <w:rFonts w:hint="eastAsia" w:ascii="仿宋" w:hAnsi="仿宋" w:eastAsia="仿宋" w:cs="仿宋_GB2312"/>
          <w:kern w:val="0"/>
          <w:sz w:val="32"/>
          <w:szCs w:val="32"/>
        </w:rPr>
        <w:t>（三）公务接待费7.28万元。</w:t>
      </w:r>
      <w:r>
        <w:rPr>
          <w:rFonts w:hint="eastAsia" w:ascii="仿宋" w:hAnsi="仿宋" w:eastAsia="仿宋" w:cs="宋体"/>
          <w:kern w:val="0"/>
          <w:sz w:val="32"/>
          <w:szCs w:val="32"/>
        </w:rPr>
        <w:t>主要用于全国各地市经发系统单位的交流学习、援缰前指与对口支援帮扶、经济运行、工业经济政策宣传、企业减负与维权、节能循环工作、信息化建设、软件服务业发展等方面的接待活动</w:t>
      </w:r>
      <w:r>
        <w:rPr>
          <w:rFonts w:hint="eastAsia" w:ascii="仿宋" w:hAnsi="仿宋" w:eastAsia="仿宋" w:cs="仿宋_GB2312"/>
          <w:kern w:val="0"/>
          <w:sz w:val="32"/>
          <w:szCs w:val="32"/>
        </w:rPr>
        <w:t>，累计接待</w:t>
      </w:r>
      <w:r>
        <w:rPr>
          <w:rFonts w:ascii="仿宋" w:hAnsi="仿宋" w:eastAsia="仿宋" w:cs="仿宋_GB2312"/>
          <w:kern w:val="0"/>
          <w:sz w:val="32"/>
          <w:szCs w:val="32"/>
        </w:rPr>
        <w:t>51</w:t>
      </w:r>
      <w:r>
        <w:rPr>
          <w:rFonts w:hint="eastAsia" w:ascii="仿宋" w:hAnsi="仿宋" w:eastAsia="仿宋" w:cs="仿宋_GB2312"/>
          <w:kern w:val="0"/>
          <w:sz w:val="32"/>
          <w:szCs w:val="32"/>
        </w:rPr>
        <w:t xml:space="preserve"> 批次、接待总人数518。与2016年相比, 公务接待费支出下增长69.39%，主</w:t>
      </w:r>
      <w:r>
        <w:rPr>
          <w:rFonts w:hint="eastAsia" w:ascii="仿宋" w:hAnsi="仿宋" w:eastAsia="仿宋" w:cs="宋体"/>
          <w:kern w:val="0"/>
          <w:sz w:val="32"/>
          <w:szCs w:val="32"/>
        </w:rPr>
        <w:t>要原因是2017年度接待标准提高。</w:t>
      </w:r>
    </w:p>
    <w:p w14:paraId="3775A0D1">
      <w:pPr>
        <w:widowControl/>
        <w:tabs>
          <w:tab w:val="left" w:pos="7513"/>
        </w:tabs>
        <w:adjustRightInd w:val="0"/>
        <w:snapToGrid w:val="0"/>
        <w:spacing w:before="100" w:beforeAutospacing="1" w:after="100" w:afterAutospacing="1" w:line="600" w:lineRule="exact"/>
        <w:ind w:firstLine="640" w:firstLineChars="200"/>
        <w:jc w:val="left"/>
        <w:rPr>
          <w:rFonts w:ascii="宋体" w:hAnsi="宋体" w:eastAsia="宋体" w:cs="宋体"/>
          <w:kern w:val="0"/>
          <w:sz w:val="24"/>
          <w:szCs w:val="24"/>
        </w:rPr>
      </w:pPr>
      <w:r>
        <w:rPr>
          <w:rFonts w:hint="eastAsia" w:ascii="黑体" w:hAnsi="黑体" w:eastAsia="黑体" w:cs="仿宋_GB2312"/>
          <w:kern w:val="0"/>
          <w:sz w:val="32"/>
          <w:szCs w:val="32"/>
        </w:rPr>
        <w:t>八、其他重要事项的情况说明</w:t>
      </w:r>
    </w:p>
    <w:p w14:paraId="652A8998">
      <w:pPr>
        <w:widowControl/>
        <w:tabs>
          <w:tab w:val="left" w:pos="7513"/>
        </w:tabs>
        <w:adjustRightInd w:val="0"/>
        <w:snapToGrid w:val="0"/>
        <w:spacing w:before="100" w:beforeAutospacing="1" w:after="100" w:afterAutospacing="1" w:line="600" w:lineRule="exact"/>
        <w:ind w:firstLine="640" w:firstLineChars="200"/>
        <w:jc w:val="left"/>
        <w:rPr>
          <w:rFonts w:ascii="仿宋" w:hAnsi="仿宋" w:eastAsia="仿宋" w:cs="宋体"/>
          <w:kern w:val="0"/>
          <w:sz w:val="24"/>
          <w:szCs w:val="24"/>
        </w:rPr>
      </w:pPr>
      <w:r>
        <w:rPr>
          <w:rFonts w:hint="eastAsia" w:ascii="仿宋" w:hAnsi="仿宋" w:eastAsia="仿宋" w:cs="仿宋_GB2312"/>
          <w:kern w:val="0"/>
          <w:sz w:val="32"/>
          <w:szCs w:val="32"/>
        </w:rPr>
        <w:t>（一）机关运行经费支出情况。</w:t>
      </w:r>
    </w:p>
    <w:p w14:paraId="1A81BAD4">
      <w:pPr>
        <w:widowControl/>
        <w:shd w:val="clear" w:color="auto" w:fill="FFFFFF"/>
        <w:adjustRightInd w:val="0"/>
        <w:snapToGrid w:val="0"/>
        <w:spacing w:before="100" w:beforeAutospacing="1" w:after="100" w:afterAutospacing="1" w:line="620" w:lineRule="exact"/>
        <w:ind w:firstLine="640" w:firstLineChars="200"/>
        <w:jc w:val="left"/>
        <w:rPr>
          <w:rFonts w:hint="eastAsia" w:ascii="仿宋" w:hAnsi="仿宋" w:eastAsia="仿宋" w:cs="宋体"/>
          <w:kern w:val="0"/>
          <w:sz w:val="32"/>
          <w:szCs w:val="32"/>
          <w:shd w:val="clear" w:color="auto" w:fill="FFFFFF"/>
        </w:rPr>
      </w:pPr>
      <w:r>
        <w:rPr>
          <w:rFonts w:hint="eastAsia" w:ascii="仿宋" w:hAnsi="仿宋" w:eastAsia="仿宋" w:cs="仿宋_GB2312"/>
          <w:kern w:val="0"/>
          <w:sz w:val="32"/>
          <w:szCs w:val="32"/>
        </w:rPr>
        <w:t>2017年机关运行经费支出476.11万元，比2016年增加149.88万元，增长45.94 %，主要原因是</w:t>
      </w:r>
      <w:r>
        <w:rPr>
          <w:rFonts w:hint="eastAsia" w:ascii="仿宋" w:hAnsi="仿宋" w:eastAsia="仿宋" w:cs="宋体"/>
          <w:kern w:val="0"/>
          <w:sz w:val="32"/>
          <w:szCs w:val="32"/>
          <w:shd w:val="clear" w:color="auto" w:fill="FFFFFF"/>
        </w:rPr>
        <w:t>新增车改补贴支出。</w:t>
      </w:r>
    </w:p>
    <w:p w14:paraId="366A8AC1">
      <w:pPr>
        <w:widowControl/>
        <w:shd w:val="clear" w:color="auto" w:fill="FFFFFF"/>
        <w:adjustRightInd w:val="0"/>
        <w:snapToGrid w:val="0"/>
        <w:spacing w:before="100" w:beforeAutospacing="1" w:after="100" w:afterAutospacing="1" w:line="620" w:lineRule="exact"/>
        <w:ind w:firstLine="640" w:firstLineChars="200"/>
        <w:jc w:val="left"/>
        <w:rPr>
          <w:rFonts w:ascii="仿宋" w:hAnsi="仿宋" w:eastAsia="仿宋" w:cs="宋体"/>
          <w:kern w:val="0"/>
          <w:sz w:val="24"/>
          <w:szCs w:val="24"/>
        </w:rPr>
      </w:pPr>
      <w:r>
        <w:rPr>
          <w:rFonts w:hint="eastAsia" w:ascii="仿宋" w:hAnsi="仿宋" w:eastAsia="仿宋" w:cs="仿宋_GB2312"/>
          <w:kern w:val="0"/>
          <w:sz w:val="32"/>
          <w:szCs w:val="32"/>
        </w:rPr>
        <w:t>（二）政府采购支出情况。</w:t>
      </w:r>
    </w:p>
    <w:p w14:paraId="7478A613">
      <w:pPr>
        <w:widowControl/>
        <w:shd w:val="clear" w:color="auto" w:fill="FFFFFF"/>
        <w:adjustRightInd w:val="0"/>
        <w:snapToGrid w:val="0"/>
        <w:spacing w:before="100" w:beforeAutospacing="1" w:after="100" w:afterAutospacing="1" w:line="620" w:lineRule="exact"/>
        <w:ind w:firstLine="640" w:firstLineChars="200"/>
        <w:jc w:val="left"/>
        <w:rPr>
          <w:rFonts w:ascii="仿宋" w:hAnsi="仿宋" w:eastAsia="仿宋" w:cs="宋体"/>
          <w:kern w:val="0"/>
          <w:sz w:val="24"/>
          <w:szCs w:val="24"/>
        </w:rPr>
      </w:pPr>
      <w:r>
        <w:rPr>
          <w:rFonts w:hint="eastAsia" w:ascii="仿宋" w:hAnsi="仿宋" w:eastAsia="仿宋" w:cs="仿宋_GB2312"/>
          <w:kern w:val="0"/>
          <w:sz w:val="32"/>
          <w:szCs w:val="32"/>
        </w:rPr>
        <w:t>2017 年政府采购支出总额2,787.08万元，其中：政府采购货物支出58.45万元，政府采购工程支出0.00万元，政府采购服务支出 2,728.63万元。</w:t>
      </w:r>
      <w:r>
        <w:rPr>
          <w:rFonts w:hint="eastAsia" w:ascii="仿宋" w:hAnsi="仿宋" w:eastAsia="仿宋" w:cs="宋体"/>
          <w:kern w:val="0"/>
          <w:sz w:val="32"/>
          <w:szCs w:val="32"/>
          <w:shd w:val="clear" w:color="auto" w:fill="FFFFFF"/>
        </w:rPr>
        <w:t>授予中小企业合同金额  0万元，占政府采购金额的0%。</w:t>
      </w:r>
    </w:p>
    <w:p w14:paraId="02EC10D6">
      <w:pPr>
        <w:widowControl/>
        <w:shd w:val="clear" w:color="auto" w:fill="FFFFFF"/>
        <w:adjustRightInd w:val="0"/>
        <w:snapToGrid w:val="0"/>
        <w:spacing w:before="100" w:beforeAutospacing="1" w:after="100" w:afterAutospacing="1" w:line="620" w:lineRule="exact"/>
        <w:ind w:firstLine="640" w:firstLineChars="200"/>
        <w:jc w:val="left"/>
        <w:rPr>
          <w:rFonts w:ascii="仿宋" w:hAnsi="仿宋" w:eastAsia="仿宋" w:cs="宋体"/>
          <w:kern w:val="0"/>
          <w:sz w:val="24"/>
          <w:szCs w:val="24"/>
        </w:rPr>
      </w:pPr>
      <w:r>
        <w:rPr>
          <w:rFonts w:hint="eastAsia" w:ascii="仿宋" w:hAnsi="仿宋" w:eastAsia="仿宋" w:cs="仿宋_GB2312"/>
          <w:kern w:val="0"/>
          <w:sz w:val="32"/>
          <w:szCs w:val="32"/>
        </w:rPr>
        <w:t>（三）国有资产占用情况。</w:t>
      </w:r>
    </w:p>
    <w:p w14:paraId="5307BDE6">
      <w:pPr>
        <w:widowControl/>
        <w:shd w:val="clear" w:color="auto" w:fill="FFFFFF"/>
        <w:adjustRightInd w:val="0"/>
        <w:snapToGrid w:val="0"/>
        <w:spacing w:before="100" w:beforeAutospacing="1" w:after="100" w:afterAutospacing="1" w:line="620" w:lineRule="exact"/>
        <w:ind w:firstLine="640" w:firstLineChars="200"/>
        <w:jc w:val="left"/>
        <w:rPr>
          <w:rFonts w:ascii="仿宋" w:hAnsi="仿宋" w:eastAsia="仿宋" w:cs="宋体"/>
          <w:kern w:val="0"/>
          <w:sz w:val="24"/>
          <w:szCs w:val="24"/>
        </w:rPr>
      </w:pPr>
      <w:r>
        <w:rPr>
          <w:rFonts w:hint="eastAsia" w:ascii="仿宋" w:hAnsi="仿宋" w:eastAsia="仿宋" w:cs="仿宋_GB2312"/>
          <w:kern w:val="0"/>
          <w:sz w:val="32"/>
          <w:szCs w:val="32"/>
        </w:rPr>
        <w:t>截至2017年12月31日，共有车辆20辆，其中：部级领导干部用车0辆；一般公务用车 17辆；一般执法执勤用车3辆；特种专业技术用车 0辆；其他用车0辆。单位价值100万元以上专用设备0台（套）。</w:t>
      </w:r>
    </w:p>
    <w:p w14:paraId="6F7BFD0A">
      <w:pPr>
        <w:widowControl/>
        <w:tabs>
          <w:tab w:val="left" w:pos="7513"/>
        </w:tabs>
        <w:adjustRightInd w:val="0"/>
        <w:snapToGrid w:val="0"/>
        <w:spacing w:before="100" w:beforeAutospacing="1" w:after="100" w:afterAutospacing="1" w:line="600" w:lineRule="exact"/>
        <w:ind w:firstLine="640" w:firstLineChars="200"/>
        <w:jc w:val="left"/>
        <w:rPr>
          <w:rFonts w:ascii="仿宋" w:hAnsi="仿宋" w:eastAsia="仿宋" w:cs="宋体"/>
          <w:kern w:val="0"/>
          <w:sz w:val="24"/>
          <w:szCs w:val="24"/>
        </w:rPr>
      </w:pPr>
      <w:r>
        <w:rPr>
          <w:rFonts w:hint="eastAsia" w:ascii="仿宋" w:hAnsi="仿宋" w:eastAsia="仿宋" w:cs="宋体"/>
          <w:kern w:val="0"/>
          <w:sz w:val="32"/>
          <w:szCs w:val="32"/>
        </w:rPr>
        <w:t>（四）绩效管理工作开展情况。</w:t>
      </w:r>
    </w:p>
    <w:p w14:paraId="46383F1A">
      <w:pPr>
        <w:widowControl/>
        <w:tabs>
          <w:tab w:val="left" w:pos="7513"/>
        </w:tabs>
        <w:adjustRightInd w:val="0"/>
        <w:snapToGrid w:val="0"/>
        <w:spacing w:before="100" w:beforeAutospacing="1" w:after="100" w:afterAutospacing="1" w:line="600" w:lineRule="exact"/>
        <w:ind w:firstLine="640" w:firstLineChars="200"/>
        <w:jc w:val="left"/>
        <w:rPr>
          <w:rFonts w:ascii="仿宋" w:hAnsi="仿宋" w:eastAsia="仿宋" w:cs="宋体"/>
          <w:kern w:val="0"/>
          <w:sz w:val="24"/>
          <w:szCs w:val="24"/>
        </w:rPr>
      </w:pPr>
      <w:r>
        <w:rPr>
          <w:rFonts w:hint="eastAsia" w:ascii="仿宋" w:hAnsi="仿宋" w:eastAsia="仿宋" w:cs="宋体"/>
          <w:kern w:val="0"/>
          <w:sz w:val="32"/>
          <w:szCs w:val="32"/>
        </w:rPr>
        <w:t>2017年我部门对两化融合、服务型制造、物联网、节能循环经济、产业转型升级（技改、智能制造、产学研等）、新能源汽车推广、软件和信息服务业（动漫产业）发展专项、兑现工业企业稳增长、中小企业发展专项等项目，涉及金额4.25亿元，开展了绩效管理工作。从管理情况来看，上述项目都能在年初预算编制时进行绩效目标设定，年中进行2次（1-6月、1-9月）绩效事中监控，项目完成后进行事后绩效自评。</w:t>
      </w:r>
    </w:p>
    <w:p w14:paraId="4BD3B351">
      <w:pPr>
        <w:widowControl/>
        <w:spacing w:before="100" w:beforeAutospacing="1" w:after="100" w:afterAutospacing="1"/>
        <w:ind w:firstLine="200"/>
        <w:jc w:val="left"/>
        <w:rPr>
          <w:rFonts w:ascii="宋体" w:hAnsi="宋体" w:eastAsia="宋体" w:cs="宋体"/>
          <w:kern w:val="0"/>
          <w:sz w:val="24"/>
          <w:szCs w:val="24"/>
        </w:rPr>
      </w:pPr>
      <w:r>
        <w:rPr>
          <w:rFonts w:hint="eastAsia" w:ascii="仿宋_GB2312" w:hAnsi="宋体" w:eastAsia="仿宋_GB2312" w:cs="宋体"/>
          <w:kern w:val="0"/>
          <w:sz w:val="32"/>
          <w:szCs w:val="32"/>
        </w:rPr>
        <w:t> </w:t>
      </w:r>
      <w:r>
        <w:rPr>
          <w:rFonts w:hint="eastAsia" w:ascii="黑体" w:hAnsi="宋体" w:eastAsia="黑体" w:cs="宋体"/>
          <w:kern w:val="0"/>
          <w:sz w:val="32"/>
          <w:szCs w:val="32"/>
        </w:rPr>
        <w:t>九、名词解释</w:t>
      </w:r>
    </w:p>
    <w:p w14:paraId="47B963A8">
      <w:pPr>
        <w:widowControl/>
        <w:spacing w:before="100" w:beforeAutospacing="1" w:after="100" w:afterAutospacing="1" w:line="620" w:lineRule="exact"/>
        <w:ind w:firstLine="640" w:firstLineChars="200"/>
        <w:jc w:val="left"/>
        <w:rPr>
          <w:rFonts w:ascii="仿宋" w:hAnsi="仿宋" w:eastAsia="仿宋" w:cs="宋体"/>
          <w:kern w:val="0"/>
          <w:sz w:val="24"/>
          <w:szCs w:val="24"/>
        </w:rPr>
      </w:pPr>
      <w:r>
        <w:rPr>
          <w:rFonts w:hint="eastAsia" w:ascii="仿宋" w:hAnsi="仿宋" w:eastAsia="仿宋" w:cs="宋体"/>
          <w:kern w:val="0"/>
          <w:sz w:val="32"/>
          <w:szCs w:val="32"/>
        </w:rPr>
        <w:t>（一）财政拨款收入：指由财政拨款形成的部门收入。按现行管理制度，部门预算中反映的财政拨款包括一般公共预算拨款和政府性基金预算拨款。</w:t>
      </w:r>
    </w:p>
    <w:p w14:paraId="6D7F0723">
      <w:pPr>
        <w:widowControl/>
        <w:spacing w:before="100" w:beforeAutospacing="1" w:after="100" w:afterAutospacing="1" w:line="620" w:lineRule="exact"/>
        <w:ind w:firstLine="640" w:firstLineChars="200"/>
        <w:jc w:val="left"/>
        <w:rPr>
          <w:rFonts w:ascii="仿宋" w:hAnsi="仿宋" w:eastAsia="仿宋" w:cs="宋体"/>
          <w:kern w:val="0"/>
          <w:sz w:val="24"/>
          <w:szCs w:val="24"/>
        </w:rPr>
      </w:pPr>
      <w:r>
        <w:rPr>
          <w:rFonts w:hint="eastAsia" w:ascii="仿宋" w:hAnsi="仿宋" w:eastAsia="仿宋" w:cs="宋体"/>
          <w:kern w:val="0"/>
          <w:sz w:val="32"/>
          <w:szCs w:val="32"/>
        </w:rPr>
        <w:t>（二）其他收入：指“财政拨款收入”、“事业收入”、“事业单位经营收入”等以外的收入。如从非同级财政部门、上级主管部门等取得的用于完成项目或专项任务的资金、库存现金溢余、利息收入等。</w:t>
      </w:r>
    </w:p>
    <w:p w14:paraId="5D8253B1">
      <w:pPr>
        <w:widowControl/>
        <w:spacing w:before="100" w:beforeAutospacing="1" w:after="100" w:afterAutospacing="1" w:line="620" w:lineRule="exact"/>
        <w:ind w:firstLine="640" w:firstLineChars="200"/>
        <w:jc w:val="left"/>
        <w:rPr>
          <w:rFonts w:ascii="仿宋" w:hAnsi="仿宋" w:eastAsia="仿宋" w:cs="宋体"/>
          <w:kern w:val="0"/>
          <w:sz w:val="24"/>
          <w:szCs w:val="24"/>
        </w:rPr>
      </w:pPr>
      <w:r>
        <w:rPr>
          <w:rFonts w:hint="eastAsia" w:ascii="仿宋" w:hAnsi="仿宋" w:eastAsia="仿宋" w:cs="宋体"/>
          <w:kern w:val="0"/>
          <w:sz w:val="32"/>
          <w:szCs w:val="32"/>
        </w:rPr>
        <w:t>（三）基本支出：指为保障机构正常运转、完成日常工作任务而发生的人员支出、对个人和家庭的补助支出和公用支出。</w:t>
      </w:r>
    </w:p>
    <w:p w14:paraId="156D12D7">
      <w:pPr>
        <w:widowControl/>
        <w:spacing w:before="100" w:beforeAutospacing="1" w:after="100" w:afterAutospacing="1" w:line="620" w:lineRule="exact"/>
        <w:ind w:firstLine="640" w:firstLineChars="200"/>
        <w:jc w:val="left"/>
        <w:rPr>
          <w:rFonts w:ascii="仿宋" w:hAnsi="仿宋" w:eastAsia="仿宋" w:cs="宋体"/>
          <w:kern w:val="0"/>
          <w:sz w:val="24"/>
          <w:szCs w:val="24"/>
        </w:rPr>
      </w:pPr>
      <w:r>
        <w:rPr>
          <w:rFonts w:hint="eastAsia" w:ascii="仿宋" w:hAnsi="仿宋" w:eastAsia="仿宋" w:cs="宋体"/>
          <w:kern w:val="0"/>
          <w:sz w:val="32"/>
          <w:szCs w:val="32"/>
        </w:rPr>
        <w:t>（四）项目支出：指在基本支出之外为完成特定行政任务和事业发展目标所发生的支出，包括部门专项、发展经费和基建项目。</w:t>
      </w:r>
    </w:p>
    <w:p w14:paraId="11FF5352">
      <w:pPr>
        <w:widowControl/>
        <w:spacing w:before="100" w:beforeAutospacing="1" w:after="100" w:afterAutospacing="1" w:line="620" w:lineRule="exact"/>
        <w:ind w:firstLine="640" w:firstLineChars="200"/>
        <w:jc w:val="left"/>
        <w:rPr>
          <w:rFonts w:ascii="仿宋" w:hAnsi="仿宋" w:eastAsia="仿宋" w:cs="宋体"/>
          <w:kern w:val="0"/>
          <w:sz w:val="24"/>
          <w:szCs w:val="24"/>
        </w:rPr>
      </w:pPr>
      <w:r>
        <w:rPr>
          <w:rFonts w:hint="eastAsia" w:ascii="仿宋" w:hAnsi="仿宋" w:eastAsia="仿宋" w:cs="宋体"/>
          <w:kern w:val="0"/>
          <w:sz w:val="32"/>
          <w:szCs w:val="32"/>
        </w:rPr>
        <w:t>（五） 机关运行经费：为保障行政单位（包括参照公务员法管理的事业单位）运行用于购买货物和服务的各项资金，包括办公及印刷费、邮电费、差旅费、会议费、福利 费、日常维修费、专用材料及一般设备购置费、办公用房水电费、办公用房物业管理费、公务用车运行维护费以及其他费用。</w:t>
      </w:r>
    </w:p>
    <w:p w14:paraId="553F2A08">
      <w:pPr>
        <w:widowControl/>
        <w:spacing w:before="100" w:beforeAutospacing="1" w:after="100" w:afterAutospacing="1"/>
        <w:ind w:firstLine="515" w:firstLineChars="161"/>
        <w:jc w:val="left"/>
        <w:rPr>
          <w:rFonts w:ascii="仿宋" w:hAnsi="仿宋" w:eastAsia="仿宋" w:cs="宋体"/>
          <w:kern w:val="0"/>
          <w:sz w:val="24"/>
          <w:szCs w:val="24"/>
        </w:rPr>
      </w:pPr>
      <w:r>
        <w:rPr>
          <w:rFonts w:hint="eastAsia" w:ascii="仿宋" w:hAnsi="宋体" w:eastAsia="仿宋" w:cs="宋体"/>
          <w:kern w:val="0"/>
          <w:sz w:val="32"/>
          <w:szCs w:val="32"/>
        </w:rPr>
        <w:t> </w:t>
      </w:r>
    </w:p>
    <w:p w14:paraId="7BFA417B">
      <w:pPr>
        <w:widowControl/>
        <w:spacing w:before="100" w:beforeAutospacing="1" w:after="100" w:afterAutospacing="1"/>
        <w:ind w:firstLine="515" w:firstLineChars="161"/>
        <w:jc w:val="left"/>
        <w:rPr>
          <w:rFonts w:ascii="仿宋" w:hAnsi="仿宋" w:eastAsia="仿宋" w:cs="宋体"/>
          <w:kern w:val="0"/>
          <w:sz w:val="24"/>
          <w:szCs w:val="24"/>
        </w:rPr>
      </w:pPr>
      <w:r>
        <w:rPr>
          <w:rFonts w:hint="eastAsia" w:ascii="仿宋" w:hAnsi="仿宋" w:eastAsia="仿宋" w:cs="宋体"/>
          <w:kern w:val="0"/>
          <w:sz w:val="32"/>
          <w:szCs w:val="32"/>
        </w:rPr>
        <w:t>附件： 1.收支决算总表</w:t>
      </w:r>
    </w:p>
    <w:p w14:paraId="5B123A69">
      <w:pPr>
        <w:widowControl/>
        <w:spacing w:before="100" w:beforeAutospacing="1" w:after="100" w:afterAutospacing="1"/>
        <w:ind w:firstLine="200"/>
        <w:jc w:val="left"/>
        <w:rPr>
          <w:rFonts w:ascii="仿宋" w:hAnsi="仿宋" w:eastAsia="仿宋" w:cs="宋体"/>
          <w:kern w:val="0"/>
          <w:sz w:val="24"/>
          <w:szCs w:val="24"/>
        </w:rPr>
      </w:pPr>
      <w:r>
        <w:rPr>
          <w:rFonts w:hint="eastAsia" w:eastAsia="仿宋" w:cs="宋体" w:asciiTheme="minorEastAsia" w:hAnsiTheme="minorEastAsia"/>
          <w:kern w:val="0"/>
          <w:sz w:val="32"/>
          <w:szCs w:val="32"/>
        </w:rPr>
        <w:t>    </w:t>
      </w:r>
      <w:r>
        <w:rPr>
          <w:rFonts w:hint="eastAsia" w:ascii="仿宋" w:hAnsi="仿宋" w:eastAsia="仿宋" w:cs="宋体"/>
          <w:kern w:val="0"/>
          <w:sz w:val="32"/>
          <w:szCs w:val="32"/>
        </w:rPr>
        <w:t xml:space="preserve"> 2.收入决算表</w:t>
      </w:r>
    </w:p>
    <w:p w14:paraId="2834F14C">
      <w:pPr>
        <w:widowControl/>
        <w:spacing w:before="100" w:beforeAutospacing="1" w:after="100" w:afterAutospacing="1"/>
        <w:ind w:firstLine="1632" w:firstLineChars="510"/>
        <w:jc w:val="left"/>
        <w:rPr>
          <w:rFonts w:ascii="仿宋" w:hAnsi="仿宋" w:eastAsia="仿宋" w:cs="宋体"/>
          <w:kern w:val="0"/>
          <w:sz w:val="24"/>
          <w:szCs w:val="24"/>
        </w:rPr>
      </w:pPr>
      <w:r>
        <w:rPr>
          <w:rFonts w:hint="eastAsia" w:ascii="仿宋" w:hAnsi="仿宋" w:eastAsia="仿宋" w:cs="宋体"/>
          <w:kern w:val="0"/>
          <w:sz w:val="32"/>
          <w:szCs w:val="32"/>
        </w:rPr>
        <w:t>3.支出决算表</w:t>
      </w:r>
    </w:p>
    <w:p w14:paraId="6FD86EF1">
      <w:pPr>
        <w:widowControl/>
        <w:spacing w:before="100" w:beforeAutospacing="1" w:after="100" w:afterAutospacing="1"/>
        <w:ind w:firstLine="1632" w:firstLineChars="510"/>
        <w:jc w:val="left"/>
        <w:rPr>
          <w:rFonts w:ascii="仿宋" w:hAnsi="仿宋" w:eastAsia="仿宋" w:cs="宋体"/>
          <w:kern w:val="0"/>
          <w:sz w:val="24"/>
          <w:szCs w:val="24"/>
        </w:rPr>
      </w:pPr>
      <w:r>
        <w:rPr>
          <w:rFonts w:hint="eastAsia" w:ascii="仿宋" w:hAnsi="仿宋" w:eastAsia="仿宋" w:cs="宋体"/>
          <w:kern w:val="0"/>
          <w:sz w:val="32"/>
          <w:szCs w:val="32"/>
        </w:rPr>
        <w:t>4.财政拨款收入支出决算总表</w:t>
      </w:r>
    </w:p>
    <w:p w14:paraId="1C2542FF">
      <w:pPr>
        <w:widowControl/>
        <w:spacing w:before="100" w:beforeAutospacing="1" w:after="100" w:afterAutospacing="1"/>
        <w:ind w:firstLine="1632" w:firstLineChars="510"/>
        <w:jc w:val="left"/>
        <w:rPr>
          <w:rFonts w:ascii="仿宋" w:hAnsi="仿宋" w:eastAsia="仿宋" w:cs="宋体"/>
          <w:kern w:val="0"/>
          <w:sz w:val="24"/>
          <w:szCs w:val="24"/>
        </w:rPr>
      </w:pPr>
      <w:r>
        <w:rPr>
          <w:rFonts w:hint="eastAsia" w:ascii="仿宋" w:hAnsi="仿宋" w:eastAsia="仿宋" w:cs="宋体"/>
          <w:kern w:val="0"/>
          <w:sz w:val="32"/>
          <w:szCs w:val="32"/>
        </w:rPr>
        <w:t>5.公共财政拨款支出决算表</w:t>
      </w:r>
    </w:p>
    <w:p w14:paraId="4F5CB06A">
      <w:pPr>
        <w:widowControl/>
        <w:spacing w:before="100" w:beforeAutospacing="1" w:after="100" w:afterAutospacing="1"/>
        <w:ind w:firstLine="1632" w:firstLineChars="510"/>
        <w:jc w:val="left"/>
        <w:rPr>
          <w:rFonts w:ascii="仿宋" w:hAnsi="仿宋" w:eastAsia="仿宋" w:cs="宋体"/>
          <w:kern w:val="0"/>
          <w:sz w:val="24"/>
          <w:szCs w:val="24"/>
        </w:rPr>
      </w:pPr>
      <w:r>
        <w:rPr>
          <w:rFonts w:hint="eastAsia" w:ascii="仿宋" w:hAnsi="仿宋" w:eastAsia="仿宋" w:cs="宋体"/>
          <w:kern w:val="0"/>
          <w:sz w:val="32"/>
          <w:szCs w:val="32"/>
        </w:rPr>
        <w:t>6.一般公共预算财政拨款支出决算明细表</w:t>
      </w:r>
    </w:p>
    <w:p w14:paraId="4CD96F05">
      <w:pPr>
        <w:widowControl/>
        <w:spacing w:before="100" w:beforeAutospacing="1" w:after="100" w:afterAutospacing="1"/>
        <w:ind w:firstLine="1632" w:firstLineChars="510"/>
        <w:jc w:val="left"/>
        <w:rPr>
          <w:rFonts w:ascii="仿宋" w:hAnsi="仿宋" w:eastAsia="仿宋" w:cs="宋体"/>
          <w:kern w:val="0"/>
          <w:sz w:val="24"/>
          <w:szCs w:val="24"/>
        </w:rPr>
      </w:pPr>
      <w:r>
        <w:rPr>
          <w:rFonts w:hint="eastAsia" w:ascii="仿宋" w:hAnsi="仿宋" w:eastAsia="仿宋" w:cs="宋体"/>
          <w:kern w:val="0"/>
          <w:sz w:val="32"/>
          <w:szCs w:val="32"/>
        </w:rPr>
        <w:t>7.一般公共预算财政拨款基本支出决算表</w:t>
      </w:r>
    </w:p>
    <w:p w14:paraId="1F8C9146">
      <w:pPr>
        <w:widowControl/>
        <w:spacing w:before="100" w:beforeAutospacing="1" w:after="100" w:afterAutospacing="1"/>
        <w:ind w:firstLine="200"/>
        <w:jc w:val="left"/>
        <w:rPr>
          <w:rFonts w:ascii="仿宋" w:hAnsi="仿宋" w:eastAsia="仿宋" w:cs="宋体"/>
          <w:kern w:val="0"/>
          <w:sz w:val="24"/>
          <w:szCs w:val="24"/>
        </w:rPr>
      </w:pPr>
      <w:r>
        <w:rPr>
          <w:rFonts w:hint="eastAsia" w:eastAsia="仿宋" w:cs="宋体" w:asciiTheme="minorEastAsia" w:hAnsiTheme="minorEastAsia"/>
          <w:kern w:val="0"/>
          <w:sz w:val="32"/>
          <w:szCs w:val="32"/>
        </w:rPr>
        <w:t>    </w:t>
      </w:r>
      <w:r>
        <w:rPr>
          <w:rFonts w:hint="eastAsia" w:ascii="仿宋" w:hAnsi="仿宋" w:eastAsia="仿宋" w:cs="宋体"/>
          <w:kern w:val="0"/>
          <w:sz w:val="32"/>
          <w:szCs w:val="32"/>
        </w:rPr>
        <w:t xml:space="preserve"> 8.政府性基金预算财政拨款收入支出决算表</w:t>
      </w:r>
    </w:p>
    <w:p w14:paraId="11DBEC3F">
      <w:pPr>
        <w:widowControl/>
        <w:spacing w:before="100" w:beforeAutospacing="1" w:after="100" w:afterAutospacing="1"/>
        <w:ind w:firstLine="1632" w:firstLineChars="510"/>
        <w:jc w:val="left"/>
        <w:rPr>
          <w:rFonts w:hint="eastAsia" w:ascii="仿宋" w:hAnsi="仿宋" w:eastAsia="仿宋" w:cs="宋体"/>
          <w:kern w:val="0"/>
          <w:sz w:val="32"/>
          <w:szCs w:val="32"/>
        </w:rPr>
      </w:pPr>
      <w:r>
        <w:rPr>
          <w:rFonts w:hint="eastAsia" w:ascii="仿宋" w:hAnsi="仿宋" w:eastAsia="仿宋" w:cs="宋体"/>
          <w:kern w:val="0"/>
          <w:sz w:val="32"/>
          <w:szCs w:val="32"/>
        </w:rPr>
        <w:t>9.“三公”经费公共预算财政拨款支出决算表</w:t>
      </w:r>
    </w:p>
    <w:p w14:paraId="6F090AD9">
      <w:pPr>
        <w:widowControl/>
        <w:spacing w:before="100" w:beforeAutospacing="1" w:after="100" w:afterAutospacing="1"/>
        <w:ind w:firstLine="1632" w:firstLineChars="510"/>
        <w:jc w:val="left"/>
        <w:rPr>
          <w:rFonts w:ascii="仿宋" w:hAnsi="仿宋" w:eastAsia="仿宋" w:cs="宋体"/>
          <w:kern w:val="0"/>
          <w:sz w:val="24"/>
          <w:szCs w:val="24"/>
        </w:rPr>
      </w:pPr>
      <w:r>
        <w:rPr>
          <w:rFonts w:hint="eastAsia" w:ascii="仿宋" w:hAnsi="仿宋" w:eastAsia="仿宋" w:cs="宋体"/>
          <w:kern w:val="0"/>
          <w:sz w:val="32"/>
          <w:szCs w:val="32"/>
        </w:rPr>
        <w:t>10.政府采购情况表</w:t>
      </w:r>
    </w:p>
    <w:p w14:paraId="32C3A76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724EFCB-9B61-4D70-9F29-8FEBDA2D5DB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52D53319-256C-4B5E-AE3B-2D2FE81DBF28}"/>
  </w:font>
  <w:font w:name="MingLiU">
    <w:altName w:val="PMingLiU-ExtB"/>
    <w:panose1 w:val="02020509000000000000"/>
    <w:charset w:val="88"/>
    <w:family w:val="modern"/>
    <w:pitch w:val="default"/>
    <w:sig w:usb0="00000000" w:usb1="00000000" w:usb2="00000016" w:usb3="00000000" w:csb0="00100001" w:csb1="00000000"/>
  </w:font>
  <w:font w:name="細明體">
    <w:altName w:val="Segoe Print"/>
    <w:panose1 w:val="00000000000000000000"/>
    <w:charset w:val="00"/>
    <w:family w:val="auto"/>
    <w:pitch w:val="default"/>
    <w:sig w:usb0="00000000" w:usb1="00000000" w:usb2="00000000" w:usb3="00000000" w:csb0="00000000" w:csb1="00000000"/>
  </w:font>
  <w:font w:name="方正小标宋简体">
    <w:panose1 w:val="02000000000000000000"/>
    <w:charset w:val="86"/>
    <w:family w:val="roman"/>
    <w:pitch w:val="default"/>
    <w:sig w:usb0="00000001" w:usb1="08000000" w:usb2="00000000" w:usb3="00000000" w:csb0="00040000" w:csb1="00000000"/>
    <w:embedRegular r:id="rId3" w:fontKey="{4EB78653-F96D-4D7D-B6BE-122CEEA5BAF8}"/>
  </w:font>
  <w:font w:name="仿宋_GB2312">
    <w:altName w:val="仿宋"/>
    <w:panose1 w:val="00000000000000000000"/>
    <w:charset w:val="86"/>
    <w:family w:val="roman"/>
    <w:pitch w:val="default"/>
    <w:sig w:usb0="00000000" w:usb1="00000000" w:usb2="00000010" w:usb3="00000000" w:csb0="00040000" w:csb1="00000000"/>
    <w:embedRegular r:id="rId4" w:fontKey="{BD63356E-BF5E-4F1D-AD60-1DEF36E81E7B}"/>
  </w:font>
  <w:font w:name="仿宋">
    <w:panose1 w:val="02010609060101010101"/>
    <w:charset w:val="86"/>
    <w:family w:val="modern"/>
    <w:pitch w:val="default"/>
    <w:sig w:usb0="800002BF" w:usb1="38CF7CFA" w:usb2="00000016" w:usb3="00000000" w:csb0="00040001" w:csb1="00000000"/>
    <w:embedRegular r:id="rId5" w:fontKey="{7AE4DD60-5F06-417F-8D9B-A11BC9E4F64B}"/>
  </w:font>
  <w:font w:name="P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10CA"/>
    <w:rsid w:val="00015E4B"/>
    <w:rsid w:val="001040B1"/>
    <w:rsid w:val="00141BEE"/>
    <w:rsid w:val="0017208D"/>
    <w:rsid w:val="0018126D"/>
    <w:rsid w:val="001C23CA"/>
    <w:rsid w:val="001F3F85"/>
    <w:rsid w:val="00225A99"/>
    <w:rsid w:val="00230063"/>
    <w:rsid w:val="00291B1D"/>
    <w:rsid w:val="002C1560"/>
    <w:rsid w:val="002E6E72"/>
    <w:rsid w:val="00300D04"/>
    <w:rsid w:val="00326BA6"/>
    <w:rsid w:val="00341660"/>
    <w:rsid w:val="003510CA"/>
    <w:rsid w:val="00380FDF"/>
    <w:rsid w:val="003E51A8"/>
    <w:rsid w:val="003E5812"/>
    <w:rsid w:val="00433967"/>
    <w:rsid w:val="004476B8"/>
    <w:rsid w:val="0048247B"/>
    <w:rsid w:val="004911FE"/>
    <w:rsid w:val="004A17AA"/>
    <w:rsid w:val="004D56DE"/>
    <w:rsid w:val="004D610C"/>
    <w:rsid w:val="00513809"/>
    <w:rsid w:val="005271E7"/>
    <w:rsid w:val="00557056"/>
    <w:rsid w:val="005E0F35"/>
    <w:rsid w:val="00600789"/>
    <w:rsid w:val="0061584C"/>
    <w:rsid w:val="00636E58"/>
    <w:rsid w:val="00646F48"/>
    <w:rsid w:val="0068331D"/>
    <w:rsid w:val="006B63DD"/>
    <w:rsid w:val="006B7A11"/>
    <w:rsid w:val="006C49B7"/>
    <w:rsid w:val="006C6853"/>
    <w:rsid w:val="0071459C"/>
    <w:rsid w:val="00746357"/>
    <w:rsid w:val="00747067"/>
    <w:rsid w:val="007619D4"/>
    <w:rsid w:val="00795390"/>
    <w:rsid w:val="007B55B3"/>
    <w:rsid w:val="008202CA"/>
    <w:rsid w:val="008714F3"/>
    <w:rsid w:val="0087538E"/>
    <w:rsid w:val="0087660A"/>
    <w:rsid w:val="008A131C"/>
    <w:rsid w:val="008B4419"/>
    <w:rsid w:val="008B6410"/>
    <w:rsid w:val="008E7B66"/>
    <w:rsid w:val="0092491B"/>
    <w:rsid w:val="00970A33"/>
    <w:rsid w:val="009C6817"/>
    <w:rsid w:val="00A8396E"/>
    <w:rsid w:val="00AB20FC"/>
    <w:rsid w:val="00B142E4"/>
    <w:rsid w:val="00B230DF"/>
    <w:rsid w:val="00B6721A"/>
    <w:rsid w:val="00B81F15"/>
    <w:rsid w:val="00B86837"/>
    <w:rsid w:val="00BA138A"/>
    <w:rsid w:val="00BE0400"/>
    <w:rsid w:val="00BF6114"/>
    <w:rsid w:val="00C01F67"/>
    <w:rsid w:val="00C537B6"/>
    <w:rsid w:val="00CA0378"/>
    <w:rsid w:val="00CA1465"/>
    <w:rsid w:val="00CD57DD"/>
    <w:rsid w:val="00D66B07"/>
    <w:rsid w:val="00D81EAF"/>
    <w:rsid w:val="00DA5C2E"/>
    <w:rsid w:val="00DB2E9A"/>
    <w:rsid w:val="00DB5046"/>
    <w:rsid w:val="00DD3BF9"/>
    <w:rsid w:val="00DD7DB9"/>
    <w:rsid w:val="00E205E7"/>
    <w:rsid w:val="00E67BAE"/>
    <w:rsid w:val="00EB7E44"/>
    <w:rsid w:val="00F335BD"/>
    <w:rsid w:val="00F366D8"/>
    <w:rsid w:val="00F852AE"/>
    <w:rsid w:val="00FB3B3E"/>
    <w:rsid w:val="00FF3C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0"/>
    <w:uiPriority w:val="0"/>
    <w:pPr>
      <w:shd w:val="clear" w:color="auto" w:fill="FFFFFF"/>
      <w:spacing w:before="840" w:after="1440" w:line="240" w:lineRule="atLeast"/>
      <w:jc w:val="center"/>
    </w:pPr>
    <w:rPr>
      <w:rFonts w:ascii="MingLiU" w:hAnsi="MingLiU" w:eastAsia="MingLiU" w:cs="Times New Roman"/>
      <w:kern w:val="0"/>
      <w:sz w:val="29"/>
      <w:szCs w:val="29"/>
    </w:rPr>
  </w:style>
  <w:style w:type="paragraph" w:styleId="3">
    <w:name w:val="footer"/>
    <w:basedOn w:val="1"/>
    <w:link w:val="8"/>
    <w:semiHidden/>
    <w:unhideWhenUsed/>
    <w:uiPriority w:val="99"/>
    <w:pPr>
      <w:tabs>
        <w:tab w:val="center" w:pos="4153"/>
        <w:tab w:val="right" w:pos="8306"/>
      </w:tabs>
      <w:snapToGrid w:val="0"/>
      <w:jc w:val="left"/>
    </w:pPr>
    <w:rPr>
      <w:sz w:val="18"/>
      <w:szCs w:val="18"/>
    </w:rPr>
  </w:style>
  <w:style w:type="paragraph" w:styleId="4">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uiPriority w:val="99"/>
    <w:rPr>
      <w:sz w:val="18"/>
      <w:szCs w:val="18"/>
    </w:rPr>
  </w:style>
  <w:style w:type="character" w:customStyle="1" w:styleId="8">
    <w:name w:val="页脚 Char"/>
    <w:basedOn w:val="6"/>
    <w:link w:val="3"/>
    <w:semiHidden/>
    <w:uiPriority w:val="99"/>
    <w:rPr>
      <w:sz w:val="18"/>
      <w:szCs w:val="18"/>
    </w:rPr>
  </w:style>
  <w:style w:type="character" w:customStyle="1" w:styleId="9">
    <w:name w:val="正文文本 Char"/>
    <w:basedOn w:val="6"/>
    <w:link w:val="2"/>
    <w:semiHidden/>
    <w:uiPriority w:val="99"/>
  </w:style>
  <w:style w:type="character" w:customStyle="1" w:styleId="10">
    <w:name w:val="正文文本 Char1"/>
    <w:basedOn w:val="6"/>
    <w:link w:val="2"/>
    <w:locked/>
    <w:uiPriority w:val="0"/>
    <w:rPr>
      <w:rFonts w:ascii="MingLiU" w:hAnsi="MingLiU" w:eastAsia="MingLiU" w:cs="Times New Roman"/>
      <w:kern w:val="0"/>
      <w:sz w:val="29"/>
      <w:szCs w:val="29"/>
      <w:shd w:val="clear" w:color="auto" w:fill="FFFFFF"/>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7777</Words>
  <Characters>8865</Characters>
  <Lines>64</Lines>
  <Paragraphs>18</Paragraphs>
  <TotalTime>3552</TotalTime>
  <ScaleCrop>false</ScaleCrop>
  <LinksUpToDate>false</LinksUpToDate>
  <CharactersWithSpaces>8915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2018-07-23T09:08:00Z</dcterms:created>
  <dc:creator>zyq</dc:creator>
  <cp:lastModifiedBy>辉</cp:lastModifiedBy>
  <dcterms:modified xsi:type="dcterms:W3CDTF">2026-02-24T02:40:52Z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eyJoZGlkIjoiYWE2MDMxOWEyYzIyYjRjODBmZGM0NDQxMzZiYjAwMzAiLCJ1c2VySWQiOiI2NTU4MTE0NjMifQ==</vt:lpwstr>
  </property>
  <property fmtid="{D5CDD505-2E9C-101B-9397-08002B2CF9AE}" pid="3" name="KSOProductBuildVer">
    <vt:lpwstr>2052-12.1.0.24657</vt:lpwstr>
  </property>
  <property fmtid="{D5CDD505-2E9C-101B-9397-08002B2CF9AE}" pid="4" name="ICV">
    <vt:lpwstr>5C08C5F0CCF44FC2A245DAEEEAFA0C50_13</vt:lpwstr>
  </property>
</Properties>
</file>