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144CED">
      <w:pPr>
        <w:widowControl/>
        <w:shd w:val="clear" w:color="auto" w:fill="FFFFFF"/>
        <w:snapToGrid w:val="0"/>
        <w:spacing w:before="100" w:beforeAutospacing="1" w:after="100" w:afterAutospacing="1" w:line="620" w:lineRule="exact"/>
        <w:contextualSpacing/>
        <w:jc w:val="center"/>
        <w:rPr>
          <w:rFonts w:ascii="Times New Roman" w:hAnsi="Times New Roman" w:eastAsia="宋体" w:cs="Times New Roman"/>
          <w:kern w:val="0"/>
          <w:sz w:val="44"/>
          <w:szCs w:val="44"/>
          <w:shd w:val="clear" w:color="auto" w:fill="FFFFFF"/>
        </w:rPr>
      </w:pPr>
      <w:r>
        <w:rPr>
          <w:rFonts w:ascii="Times New Roman" w:hAnsi="Times New Roman" w:eastAsia="宋体" w:cs="Times New Roman"/>
          <w:kern w:val="0"/>
          <w:sz w:val="44"/>
          <w:szCs w:val="44"/>
          <w:shd w:val="clear" w:color="auto" w:fill="FFFFFF"/>
        </w:rPr>
        <w:t>2017</w:t>
      </w:r>
      <w:r>
        <w:rPr>
          <w:rFonts w:hint="eastAsia" w:ascii="Times New Roman" w:hAnsi="Times New Roman" w:eastAsia="宋体" w:cs="Times New Roman"/>
          <w:kern w:val="0"/>
          <w:sz w:val="44"/>
          <w:szCs w:val="44"/>
          <w:shd w:val="clear" w:color="auto" w:fill="FFFFFF"/>
        </w:rPr>
        <w:t>年度</w:t>
      </w:r>
      <w:bookmarkStart w:id="0" w:name="_GoBack"/>
      <w:bookmarkEnd w:id="0"/>
      <w:r>
        <w:rPr>
          <w:rFonts w:ascii="Times New Roman" w:hAnsi="Times New Roman" w:eastAsia="宋体" w:cs="Times New Roman"/>
          <w:kern w:val="0"/>
          <w:sz w:val="44"/>
          <w:szCs w:val="44"/>
          <w:shd w:val="clear" w:color="auto" w:fill="FFFFFF"/>
        </w:rPr>
        <w:t>厦门市金融工作办公室</w:t>
      </w:r>
    </w:p>
    <w:p w14:paraId="01B49AB8">
      <w:pPr>
        <w:widowControl/>
        <w:shd w:val="clear" w:color="auto" w:fill="FFFFFF"/>
        <w:snapToGrid w:val="0"/>
        <w:spacing w:before="100" w:beforeAutospacing="1" w:after="100" w:afterAutospacing="1" w:line="620" w:lineRule="exact"/>
        <w:contextualSpacing/>
        <w:jc w:val="center"/>
        <w:rPr>
          <w:rFonts w:ascii="宋体" w:eastAsia="宋体" w:cs="宋体"/>
          <w:kern w:val="0"/>
          <w:sz w:val="24"/>
          <w:szCs w:val="24"/>
        </w:rPr>
      </w:pPr>
      <w:r>
        <w:rPr>
          <w:rFonts w:hint="eastAsia" w:ascii="Times New Roman" w:hAnsi="Times New Roman" w:eastAsia="宋体" w:cs="Times New Roman"/>
          <w:kern w:val="0"/>
          <w:sz w:val="44"/>
          <w:szCs w:val="44"/>
          <w:shd w:val="clear" w:color="auto" w:fill="FFFFFF"/>
        </w:rPr>
        <w:t>部门决算说明</w:t>
      </w:r>
    </w:p>
    <w:p w14:paraId="65B4C11E">
      <w:pPr>
        <w:widowControl/>
        <w:shd w:val="clear" w:color="auto" w:fill="FFFFFF"/>
        <w:snapToGrid w:val="0"/>
        <w:spacing w:before="100" w:beforeAutospacing="1" w:after="100" w:afterAutospacing="1" w:line="240" w:lineRule="exact"/>
        <w:ind w:firstLine="640" w:firstLineChars="200"/>
        <w:contextualSpacing/>
        <w:jc w:val="left"/>
        <w:rPr>
          <w:rFonts w:ascii="宋体" w:eastAsia="宋体" w:cs="宋体"/>
          <w:kern w:val="0"/>
          <w:sz w:val="24"/>
          <w:szCs w:val="24"/>
        </w:rPr>
      </w:pPr>
      <w:r>
        <w:rPr>
          <w:rFonts w:ascii="Calibri" w:hAnsi="Calibri" w:eastAsia="仿宋_GB2312" w:cs="宋体"/>
          <w:kern w:val="0"/>
          <w:sz w:val="32"/>
          <w:szCs w:val="32"/>
        </w:rPr>
        <w:t> </w:t>
      </w:r>
    </w:p>
    <w:p w14:paraId="3AB52B4F">
      <w:pPr>
        <w:widowControl/>
        <w:shd w:val="clear" w:color="auto" w:fill="FFFFFF"/>
        <w:snapToGrid w:val="0"/>
        <w:spacing w:before="100" w:beforeAutospacing="1" w:after="100" w:afterAutospacing="1" w:line="600" w:lineRule="exact"/>
        <w:ind w:firstLine="640" w:firstLineChars="200"/>
        <w:contextualSpacing/>
        <w:jc w:val="left"/>
        <w:rPr>
          <w:rFonts w:ascii="宋体" w:eastAsia="宋体" w:cs="宋体"/>
          <w:kern w:val="0"/>
          <w:sz w:val="24"/>
          <w:szCs w:val="24"/>
        </w:rPr>
      </w:pPr>
      <w:r>
        <w:rPr>
          <w:rFonts w:hint="eastAsia" w:ascii="仿宋_GB2312" w:eastAsia="仿宋_GB2312" w:cs="宋体"/>
          <w:kern w:val="0"/>
          <w:sz w:val="32"/>
          <w:szCs w:val="32"/>
        </w:rPr>
        <w:t>按照《中华人民共和国预算法》以及《厦门市财政局关于厦门市金融工作办公室单位2017年度部门决算批复》（厦财决批商〔2018〕1 号）的批复，现将我单位2017年度部门决算说明如下 :</w:t>
      </w:r>
    </w:p>
    <w:p w14:paraId="1941EF4B">
      <w:pPr>
        <w:widowControl/>
        <w:shd w:val="clear" w:color="auto" w:fill="FFFFFF"/>
        <w:snapToGrid w:val="0"/>
        <w:spacing w:before="100" w:beforeAutospacing="1" w:after="100" w:afterAutospacing="1" w:line="600" w:lineRule="exact"/>
        <w:ind w:firstLine="640" w:firstLineChars="200"/>
        <w:contextualSpacing/>
        <w:jc w:val="left"/>
        <w:rPr>
          <w:rFonts w:ascii="宋体" w:eastAsia="宋体" w:cs="宋体"/>
          <w:kern w:val="0"/>
          <w:sz w:val="24"/>
          <w:szCs w:val="24"/>
        </w:rPr>
      </w:pPr>
      <w:r>
        <w:rPr>
          <w:rFonts w:hint="eastAsia" w:ascii="黑体" w:eastAsia="黑体" w:cs="宋体"/>
          <w:kern w:val="0"/>
          <w:sz w:val="32"/>
          <w:szCs w:val="32"/>
        </w:rPr>
        <w:t>一、部门主要职责</w:t>
      </w:r>
    </w:p>
    <w:p w14:paraId="78B44480">
      <w:pPr>
        <w:widowControl/>
        <w:shd w:val="clear" w:color="auto" w:fill="FFFFFF"/>
        <w:snapToGrid w:val="0"/>
        <w:spacing w:before="100" w:beforeAutospacing="1" w:after="100" w:afterAutospacing="1" w:line="600" w:lineRule="exact"/>
        <w:ind w:firstLine="640" w:firstLineChars="200"/>
        <w:contextualSpacing/>
        <w:jc w:val="left"/>
        <w:rPr>
          <w:rFonts w:ascii="宋体" w:eastAsia="宋体" w:cs="宋体"/>
          <w:kern w:val="0"/>
          <w:sz w:val="24"/>
          <w:szCs w:val="24"/>
        </w:rPr>
      </w:pPr>
      <w:r>
        <w:rPr>
          <w:rFonts w:hint="eastAsia" w:ascii="仿宋_GB2312" w:eastAsia="仿宋_GB2312" w:cs="宋体"/>
          <w:kern w:val="0"/>
          <w:sz w:val="32"/>
          <w:szCs w:val="32"/>
        </w:rPr>
        <w:t>厦门市金融工作办公室部门的主要职责是：</w:t>
      </w:r>
    </w:p>
    <w:p w14:paraId="5A43B2C3">
      <w:pPr>
        <w:widowControl/>
        <w:ind w:firstLine="358" w:firstLineChars="112"/>
        <w:jc w:val="left"/>
        <w:rPr>
          <w:rFonts w:ascii="仿宋_GB2312" w:eastAsia="仿宋_GB2312" w:cs="Times New Roman"/>
          <w:sz w:val="32"/>
          <w:szCs w:val="32"/>
        </w:rPr>
      </w:pPr>
      <w:r>
        <w:rPr>
          <w:rFonts w:hint="eastAsia" w:ascii="仿宋_GB2312" w:eastAsia="仿宋_GB2312" w:cs="宋体"/>
          <w:kern w:val="0"/>
          <w:sz w:val="32"/>
          <w:szCs w:val="32"/>
        </w:rPr>
        <w:t>（一）</w:t>
      </w:r>
      <w:r>
        <w:rPr>
          <w:rFonts w:ascii="仿宋_GB2312" w:eastAsia="仿宋_GB2312" w:cs="Times New Roman"/>
          <w:sz w:val="32"/>
          <w:szCs w:val="32"/>
        </w:rPr>
        <w:t>负责拟订全市金融行业发展规划，提出改善金融发展生态、加强金融服务、促进金融发展的政策措施。</w:t>
      </w:r>
    </w:p>
    <w:p w14:paraId="34270E27">
      <w:pPr>
        <w:widowControl/>
        <w:ind w:firstLine="358" w:firstLineChars="112"/>
        <w:jc w:val="left"/>
        <w:rPr>
          <w:rFonts w:ascii="仿宋_GB2312" w:eastAsia="仿宋_GB2312" w:cs="Times New Roman"/>
          <w:sz w:val="32"/>
          <w:szCs w:val="32"/>
        </w:rPr>
      </w:pPr>
      <w:r>
        <w:rPr>
          <w:rFonts w:hint="eastAsia" w:ascii="仿宋_GB2312" w:eastAsia="仿宋_GB2312" w:cs="Times New Roman"/>
          <w:sz w:val="32"/>
          <w:szCs w:val="32"/>
        </w:rPr>
        <w:t>（</w:t>
      </w:r>
      <w:r>
        <w:rPr>
          <w:rFonts w:hint="eastAsia" w:ascii="仿宋_GB2312" w:eastAsia="仿宋_GB2312"/>
          <w:sz w:val="32"/>
          <w:szCs w:val="32"/>
        </w:rPr>
        <w:t>二</w:t>
      </w:r>
      <w:r>
        <w:rPr>
          <w:rFonts w:hint="eastAsia" w:ascii="仿宋_GB2312" w:eastAsia="仿宋_GB2312" w:cs="Times New Roman"/>
          <w:sz w:val="32"/>
          <w:szCs w:val="32"/>
        </w:rPr>
        <w:t>）</w:t>
      </w:r>
      <w:r>
        <w:rPr>
          <w:rFonts w:ascii="仿宋_GB2312" w:eastAsia="仿宋_GB2312" w:cs="Times New Roman"/>
          <w:sz w:val="32"/>
          <w:szCs w:val="32"/>
        </w:rPr>
        <w:t>负责指导和协调两岸区域性金融服务中心及金融产业集聚区、厦漳泉金融服务同城化建设；组织实施全市金融招商引资，会同有关部门规划、组织、协调两岸区域性金融服务中心金融基础设施建设；指导、推动全市多层次资本市场建设和发展。</w:t>
      </w:r>
    </w:p>
    <w:p w14:paraId="59702435">
      <w:pPr>
        <w:widowControl/>
        <w:ind w:firstLine="358" w:firstLineChars="112"/>
        <w:jc w:val="left"/>
        <w:rPr>
          <w:rFonts w:ascii="仿宋_GB2312" w:eastAsia="仿宋_GB2312" w:cs="Times New Roman"/>
          <w:sz w:val="32"/>
          <w:szCs w:val="32"/>
        </w:rPr>
      </w:pPr>
      <w:r>
        <w:rPr>
          <w:rFonts w:hint="eastAsia" w:ascii="仿宋_GB2312" w:eastAsia="仿宋_GB2312" w:cs="Times New Roman"/>
          <w:sz w:val="32"/>
          <w:szCs w:val="32"/>
        </w:rPr>
        <w:t>（</w:t>
      </w:r>
      <w:r>
        <w:rPr>
          <w:rFonts w:hint="eastAsia" w:ascii="仿宋_GB2312" w:eastAsia="仿宋_GB2312"/>
          <w:sz w:val="32"/>
          <w:szCs w:val="32"/>
        </w:rPr>
        <w:t>三</w:t>
      </w:r>
      <w:r>
        <w:rPr>
          <w:rFonts w:hint="eastAsia" w:ascii="仿宋_GB2312" w:eastAsia="仿宋_GB2312" w:cs="Times New Roman"/>
          <w:sz w:val="32"/>
          <w:szCs w:val="32"/>
        </w:rPr>
        <w:t>）</w:t>
      </w:r>
      <w:r>
        <w:rPr>
          <w:rFonts w:ascii="仿宋_GB2312" w:eastAsia="仿宋_GB2312" w:cs="Times New Roman"/>
          <w:sz w:val="32"/>
          <w:szCs w:val="32"/>
        </w:rPr>
        <w:t>协调、服务中央驻厦金融监管部门、驻厦金融机构、地方金融机构，组织拟定引导社会融资发展的政策措施；协助推进全市农业保险工作。</w:t>
      </w:r>
    </w:p>
    <w:p w14:paraId="6C646DDE">
      <w:pPr>
        <w:widowControl/>
        <w:ind w:firstLine="358" w:firstLineChars="112"/>
        <w:jc w:val="left"/>
        <w:rPr>
          <w:rFonts w:ascii="仿宋_GB2312" w:eastAsia="仿宋_GB2312" w:cs="Times New Roman"/>
          <w:sz w:val="32"/>
          <w:szCs w:val="32"/>
        </w:rPr>
      </w:pPr>
      <w:r>
        <w:rPr>
          <w:rFonts w:hint="eastAsia" w:ascii="仿宋_GB2312" w:eastAsia="仿宋_GB2312" w:cs="Times New Roman"/>
          <w:sz w:val="32"/>
          <w:szCs w:val="32"/>
        </w:rPr>
        <w:t>（</w:t>
      </w:r>
      <w:r>
        <w:rPr>
          <w:rFonts w:hint="eastAsia" w:ascii="仿宋_GB2312" w:eastAsia="仿宋_GB2312"/>
          <w:sz w:val="32"/>
          <w:szCs w:val="32"/>
        </w:rPr>
        <w:t>四</w:t>
      </w:r>
      <w:r>
        <w:rPr>
          <w:rFonts w:hint="eastAsia" w:ascii="仿宋_GB2312" w:eastAsia="仿宋_GB2312" w:cs="Times New Roman"/>
          <w:sz w:val="32"/>
          <w:szCs w:val="32"/>
        </w:rPr>
        <w:t>）</w:t>
      </w:r>
      <w:r>
        <w:rPr>
          <w:rFonts w:ascii="仿宋_GB2312" w:eastAsia="仿宋_GB2312" w:cs="Times New Roman"/>
          <w:sz w:val="32"/>
          <w:szCs w:val="32"/>
        </w:rPr>
        <w:t>指导、协调地方金融重大事项；参与对地方法人金融机头和具有融资性功能地方企业的检测、评价和绩效评估。</w:t>
      </w:r>
    </w:p>
    <w:p w14:paraId="2377BCEE">
      <w:pPr>
        <w:widowControl/>
        <w:ind w:firstLine="358" w:firstLineChars="112"/>
        <w:jc w:val="left"/>
        <w:rPr>
          <w:rFonts w:ascii="仿宋_GB2312" w:eastAsia="仿宋_GB2312" w:cs="Times New Roman"/>
          <w:sz w:val="32"/>
          <w:szCs w:val="32"/>
        </w:rPr>
      </w:pPr>
      <w:r>
        <w:rPr>
          <w:rFonts w:hint="eastAsia" w:ascii="仿宋_GB2312" w:eastAsia="仿宋_GB2312" w:cs="Times New Roman"/>
          <w:sz w:val="32"/>
          <w:szCs w:val="32"/>
        </w:rPr>
        <w:t>（</w:t>
      </w:r>
      <w:r>
        <w:rPr>
          <w:rFonts w:hint="eastAsia" w:ascii="仿宋_GB2312" w:eastAsia="仿宋_GB2312"/>
          <w:sz w:val="32"/>
          <w:szCs w:val="32"/>
        </w:rPr>
        <w:t>五</w:t>
      </w:r>
      <w:r>
        <w:rPr>
          <w:rFonts w:hint="eastAsia" w:ascii="仿宋_GB2312" w:eastAsia="仿宋_GB2312" w:cs="Times New Roman"/>
          <w:sz w:val="32"/>
          <w:szCs w:val="32"/>
        </w:rPr>
        <w:t>）</w:t>
      </w:r>
      <w:r>
        <w:rPr>
          <w:rFonts w:ascii="仿宋_GB2312" w:eastAsia="仿宋_GB2312" w:cs="Times New Roman"/>
          <w:sz w:val="32"/>
          <w:szCs w:val="32"/>
        </w:rPr>
        <w:t>负责股权投资类企业、小额贷款公司、融资性担保公司、典当行、融资租赁公司、商业保理公司、地方资产管理公司等机构的市场准入审核和日常监督管理；承担农村信用社管理；协助推进全市信用体系建设。</w:t>
      </w:r>
    </w:p>
    <w:p w14:paraId="30137C88">
      <w:pPr>
        <w:widowControl/>
        <w:ind w:firstLine="358" w:firstLineChars="112"/>
        <w:jc w:val="left"/>
        <w:rPr>
          <w:rFonts w:ascii="仿宋_GB2312" w:eastAsia="仿宋_GB2312" w:cs="Times New Roman"/>
          <w:sz w:val="32"/>
          <w:szCs w:val="32"/>
        </w:rPr>
      </w:pPr>
      <w:r>
        <w:rPr>
          <w:rFonts w:hint="eastAsia" w:ascii="仿宋_GB2312" w:eastAsia="仿宋_GB2312" w:cs="Times New Roman"/>
          <w:sz w:val="32"/>
          <w:szCs w:val="32"/>
        </w:rPr>
        <w:t>（</w:t>
      </w:r>
      <w:r>
        <w:rPr>
          <w:rFonts w:hint="eastAsia" w:ascii="仿宋_GB2312" w:eastAsia="仿宋_GB2312"/>
          <w:sz w:val="32"/>
          <w:szCs w:val="32"/>
        </w:rPr>
        <w:t>六</w:t>
      </w:r>
      <w:r>
        <w:rPr>
          <w:rFonts w:hint="eastAsia" w:ascii="仿宋_GB2312" w:eastAsia="仿宋_GB2312" w:cs="Times New Roman"/>
          <w:sz w:val="32"/>
          <w:szCs w:val="32"/>
        </w:rPr>
        <w:t>）</w:t>
      </w:r>
      <w:r>
        <w:rPr>
          <w:rFonts w:ascii="仿宋_GB2312" w:eastAsia="仿宋_GB2312" w:cs="Times New Roman"/>
          <w:sz w:val="32"/>
          <w:szCs w:val="32"/>
        </w:rPr>
        <w:t>配合中央驻厦金融监管部门在厦开展金融监管工作；协助配合打击金融违法违规和金融犯罪活动；牵头组织实施金融突发事件应急预案。</w:t>
      </w:r>
    </w:p>
    <w:p w14:paraId="5663294C">
      <w:pPr>
        <w:widowControl/>
        <w:shd w:val="clear" w:color="auto" w:fill="FFFFFF"/>
        <w:snapToGrid w:val="0"/>
        <w:spacing w:before="100" w:beforeAutospacing="1" w:after="100" w:afterAutospacing="1" w:line="600" w:lineRule="exact"/>
        <w:ind w:firstLine="640" w:firstLineChars="200"/>
        <w:contextualSpacing/>
        <w:jc w:val="left"/>
        <w:rPr>
          <w:rFonts w:ascii="宋体" w:eastAsia="宋体" w:cs="宋体"/>
          <w:kern w:val="0"/>
          <w:sz w:val="24"/>
          <w:szCs w:val="24"/>
        </w:rPr>
      </w:pPr>
      <w:r>
        <w:rPr>
          <w:rFonts w:hint="eastAsia" w:ascii="黑体" w:eastAsia="黑体" w:cs="宋体"/>
          <w:kern w:val="0"/>
          <w:sz w:val="32"/>
          <w:szCs w:val="32"/>
        </w:rPr>
        <w:t>二、部门决算单位基本情况</w:t>
      </w:r>
    </w:p>
    <w:p w14:paraId="24D00E50">
      <w:pPr>
        <w:widowControl/>
        <w:shd w:val="clear" w:color="auto" w:fill="FFFFFF"/>
        <w:tabs>
          <w:tab w:val="left" w:pos="7513"/>
        </w:tabs>
        <w:adjustRightInd w:val="0"/>
        <w:snapToGrid w:val="0"/>
        <w:spacing w:before="100" w:beforeAutospacing="1" w:after="100" w:afterAutospacing="1" w:line="600" w:lineRule="exact"/>
        <w:ind w:firstLine="640" w:firstLineChars="200"/>
        <w:contextualSpacing/>
        <w:jc w:val="left"/>
        <w:rPr>
          <w:rFonts w:ascii="宋体" w:eastAsia="宋体" w:cs="宋体"/>
          <w:kern w:val="0"/>
          <w:sz w:val="24"/>
          <w:szCs w:val="24"/>
        </w:rPr>
      </w:pPr>
      <w:r>
        <w:rPr>
          <w:rFonts w:hint="eastAsia" w:ascii="仿宋_GB2312" w:eastAsia="仿宋_GB2312" w:cs="仿宋_GB2312"/>
          <w:kern w:val="0"/>
          <w:sz w:val="32"/>
          <w:szCs w:val="32"/>
        </w:rPr>
        <w:t>从决算单位构成看，</w:t>
      </w:r>
      <w:r>
        <w:rPr>
          <w:rFonts w:hint="eastAsia" w:ascii="仿宋_GB2312" w:eastAsia="仿宋_GB2312" w:cs="宋体"/>
          <w:kern w:val="0"/>
          <w:sz w:val="32"/>
          <w:szCs w:val="32"/>
        </w:rPr>
        <w:t>厦门市金融工作办公室部门包括</w:t>
      </w:r>
      <w:r>
        <w:rPr>
          <w:rFonts w:hint="eastAsia" w:ascii="仿宋_GB2312" w:eastAsia="仿宋_GB2312" w:cs="仿宋_GB2312"/>
          <w:kern w:val="0"/>
          <w:sz w:val="32"/>
          <w:szCs w:val="32"/>
        </w:rPr>
        <w:t>4</w:t>
      </w:r>
      <w:r>
        <w:rPr>
          <w:rFonts w:hint="eastAsia" w:ascii="仿宋_GB2312" w:eastAsia="仿宋_GB2312" w:cs="宋体"/>
          <w:kern w:val="0"/>
          <w:sz w:val="32"/>
          <w:szCs w:val="32"/>
        </w:rPr>
        <w:t>个机关行政处室，其中,列入</w:t>
      </w:r>
      <w:r>
        <w:rPr>
          <w:rFonts w:hint="eastAsia" w:ascii="仿宋_GB2312" w:eastAsia="仿宋_GB2312" w:cs="仿宋_GB2312"/>
          <w:kern w:val="0"/>
          <w:sz w:val="32"/>
          <w:szCs w:val="32"/>
        </w:rPr>
        <w:t>2017</w:t>
      </w:r>
      <w:r>
        <w:rPr>
          <w:rFonts w:hint="eastAsia" w:ascii="仿宋_GB2312" w:eastAsia="仿宋_GB2312" w:cs="宋体"/>
          <w:kern w:val="0"/>
          <w:sz w:val="32"/>
          <w:szCs w:val="32"/>
        </w:rPr>
        <w:t>年部门决算编制范围的单位详细情况见下表: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14:paraId="3548E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2130" w:type="dxa"/>
            <w:tcBorders>
              <w:top w:val="single" w:color="auto" w:sz="4" w:space="0"/>
              <w:left w:val="single" w:color="auto" w:sz="4" w:space="0"/>
              <w:bottom w:val="single" w:color="auto" w:sz="4" w:space="0"/>
              <w:right w:val="single" w:color="auto" w:sz="4" w:space="0"/>
            </w:tcBorders>
            <w:vAlign w:val="center"/>
          </w:tcPr>
          <w:p w14:paraId="79010B64">
            <w:pPr>
              <w:widowControl/>
              <w:spacing w:before="100" w:beforeAutospacing="1" w:after="100" w:afterAutospacing="1" w:line="600" w:lineRule="exact"/>
              <w:ind w:firstLine="200"/>
              <w:contextualSpacing/>
              <w:jc w:val="center"/>
              <w:rPr>
                <w:rFonts w:ascii="宋体" w:eastAsia="宋体" w:cs="宋体"/>
                <w:kern w:val="0"/>
                <w:sz w:val="24"/>
                <w:szCs w:val="24"/>
              </w:rPr>
            </w:pPr>
            <w:r>
              <w:rPr>
                <w:rFonts w:hint="eastAsia" w:ascii="仿宋_GB2312" w:eastAsia="仿宋_GB2312" w:cs="仿宋_GB2312"/>
                <w:kern w:val="0"/>
                <w:sz w:val="32"/>
                <w:szCs w:val="32"/>
              </w:rPr>
              <w:t>单位名称</w:t>
            </w:r>
          </w:p>
        </w:tc>
        <w:tc>
          <w:tcPr>
            <w:tcW w:w="2130" w:type="dxa"/>
            <w:tcBorders>
              <w:top w:val="single" w:color="auto" w:sz="4" w:space="0"/>
              <w:left w:val="single" w:color="auto" w:sz="4" w:space="0"/>
              <w:bottom w:val="single" w:color="auto" w:sz="4" w:space="0"/>
              <w:right w:val="single" w:color="auto" w:sz="4" w:space="0"/>
            </w:tcBorders>
            <w:vAlign w:val="center"/>
          </w:tcPr>
          <w:p w14:paraId="20A604D2">
            <w:pPr>
              <w:widowControl/>
              <w:spacing w:before="100" w:beforeAutospacing="1" w:after="100" w:afterAutospacing="1" w:line="600" w:lineRule="exact"/>
              <w:ind w:firstLine="200"/>
              <w:contextualSpacing/>
              <w:jc w:val="center"/>
              <w:rPr>
                <w:rFonts w:ascii="宋体" w:eastAsia="宋体" w:cs="宋体"/>
                <w:kern w:val="0"/>
                <w:sz w:val="24"/>
                <w:szCs w:val="24"/>
              </w:rPr>
            </w:pPr>
            <w:r>
              <w:rPr>
                <w:rFonts w:hint="eastAsia" w:ascii="仿宋_GB2312" w:eastAsia="仿宋_GB2312" w:cs="仿宋_GB2312"/>
                <w:kern w:val="0"/>
                <w:sz w:val="32"/>
                <w:szCs w:val="32"/>
              </w:rPr>
              <w:t>经费性质</w:t>
            </w:r>
          </w:p>
        </w:tc>
        <w:tc>
          <w:tcPr>
            <w:tcW w:w="2131" w:type="dxa"/>
            <w:tcBorders>
              <w:top w:val="single" w:color="auto" w:sz="4" w:space="0"/>
              <w:left w:val="single" w:color="auto" w:sz="4" w:space="0"/>
              <w:bottom w:val="single" w:color="auto" w:sz="4" w:space="0"/>
              <w:right w:val="single" w:color="auto" w:sz="4" w:space="0"/>
            </w:tcBorders>
            <w:vAlign w:val="center"/>
          </w:tcPr>
          <w:p w14:paraId="73F2E720">
            <w:pPr>
              <w:widowControl/>
              <w:spacing w:before="100" w:beforeAutospacing="1" w:after="100" w:afterAutospacing="1" w:line="600" w:lineRule="exact"/>
              <w:ind w:firstLine="200"/>
              <w:contextualSpacing/>
              <w:jc w:val="center"/>
              <w:rPr>
                <w:rFonts w:ascii="宋体" w:eastAsia="宋体" w:cs="宋体"/>
                <w:kern w:val="0"/>
                <w:sz w:val="24"/>
                <w:szCs w:val="24"/>
              </w:rPr>
            </w:pPr>
            <w:r>
              <w:rPr>
                <w:rFonts w:hint="eastAsia" w:ascii="仿宋_GB2312" w:eastAsia="仿宋_GB2312" w:cs="仿宋_GB2312"/>
                <w:kern w:val="0"/>
                <w:sz w:val="32"/>
                <w:szCs w:val="32"/>
              </w:rPr>
              <w:t>人员编制数</w:t>
            </w:r>
          </w:p>
        </w:tc>
        <w:tc>
          <w:tcPr>
            <w:tcW w:w="2131" w:type="dxa"/>
            <w:tcBorders>
              <w:top w:val="single" w:color="auto" w:sz="4" w:space="0"/>
              <w:left w:val="single" w:color="auto" w:sz="4" w:space="0"/>
              <w:bottom w:val="single" w:color="auto" w:sz="4" w:space="0"/>
              <w:right w:val="single" w:color="auto" w:sz="4" w:space="0"/>
            </w:tcBorders>
            <w:vAlign w:val="center"/>
          </w:tcPr>
          <w:p w14:paraId="0D955BE2">
            <w:pPr>
              <w:widowControl/>
              <w:spacing w:before="100" w:beforeAutospacing="1" w:after="100" w:afterAutospacing="1" w:line="600" w:lineRule="exact"/>
              <w:ind w:firstLine="200"/>
              <w:contextualSpacing/>
              <w:jc w:val="center"/>
              <w:rPr>
                <w:rFonts w:ascii="宋体" w:eastAsia="宋体" w:cs="宋体"/>
                <w:kern w:val="0"/>
                <w:sz w:val="24"/>
                <w:szCs w:val="24"/>
              </w:rPr>
            </w:pPr>
            <w:r>
              <w:rPr>
                <w:rFonts w:hint="eastAsia" w:ascii="仿宋_GB2312" w:eastAsia="仿宋_GB2312" w:cs="仿宋_GB2312"/>
                <w:kern w:val="0"/>
                <w:sz w:val="32"/>
                <w:szCs w:val="32"/>
              </w:rPr>
              <w:t>在职人数</w:t>
            </w:r>
          </w:p>
        </w:tc>
      </w:tr>
      <w:tr w14:paraId="29F96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Borders>
              <w:top w:val="single" w:color="auto" w:sz="4" w:space="0"/>
              <w:left w:val="single" w:color="auto" w:sz="4" w:space="0"/>
              <w:bottom w:val="single" w:color="auto" w:sz="4" w:space="0"/>
              <w:right w:val="single" w:color="auto" w:sz="4" w:space="0"/>
            </w:tcBorders>
          </w:tcPr>
          <w:p w14:paraId="24D7171F">
            <w:pPr>
              <w:widowControl/>
              <w:tabs>
                <w:tab w:val="left" w:pos="7513"/>
              </w:tabs>
              <w:adjustRightInd w:val="0"/>
              <w:snapToGrid w:val="0"/>
              <w:spacing w:before="100" w:beforeAutospacing="1" w:after="100" w:afterAutospacing="1" w:line="600" w:lineRule="exact"/>
              <w:contextualSpacing/>
              <w:jc w:val="left"/>
              <w:rPr>
                <w:rFonts w:ascii="宋体" w:eastAsia="宋体" w:cs="宋体"/>
                <w:kern w:val="0"/>
                <w:sz w:val="24"/>
                <w:szCs w:val="24"/>
              </w:rPr>
            </w:pPr>
            <w:r>
              <w:rPr>
                <w:rFonts w:hint="eastAsia" w:ascii="仿宋_GB2312" w:eastAsia="仿宋_GB2312" w:cs="宋体"/>
                <w:kern w:val="0"/>
                <w:sz w:val="32"/>
                <w:szCs w:val="32"/>
              </w:rPr>
              <w:t>厦门市金融工作办公室</w:t>
            </w:r>
          </w:p>
        </w:tc>
        <w:tc>
          <w:tcPr>
            <w:tcW w:w="2130" w:type="dxa"/>
            <w:tcBorders>
              <w:top w:val="single" w:color="auto" w:sz="4" w:space="0"/>
              <w:left w:val="single" w:color="auto" w:sz="4" w:space="0"/>
              <w:bottom w:val="single" w:color="auto" w:sz="4" w:space="0"/>
              <w:right w:val="single" w:color="auto" w:sz="4" w:space="0"/>
            </w:tcBorders>
          </w:tcPr>
          <w:p w14:paraId="225AD09C">
            <w:pPr>
              <w:widowControl/>
              <w:tabs>
                <w:tab w:val="left" w:pos="7513"/>
              </w:tabs>
              <w:adjustRightInd w:val="0"/>
              <w:snapToGrid w:val="0"/>
              <w:spacing w:before="100" w:beforeAutospacing="1" w:after="100" w:afterAutospacing="1" w:line="600" w:lineRule="exact"/>
              <w:ind w:firstLine="200"/>
              <w:contextualSpacing/>
              <w:jc w:val="left"/>
              <w:rPr>
                <w:rFonts w:ascii="宋体" w:eastAsia="宋体" w:cs="宋体"/>
                <w:kern w:val="0"/>
                <w:sz w:val="24"/>
                <w:szCs w:val="24"/>
              </w:rPr>
            </w:pPr>
            <w:r>
              <w:rPr>
                <w:rFonts w:ascii="Calibri" w:hAnsi="Calibri" w:eastAsia="仿宋_GB2312" w:cs="宋体"/>
                <w:b/>
                <w:bCs/>
                <w:kern w:val="0"/>
                <w:sz w:val="32"/>
                <w:szCs w:val="32"/>
              </w:rPr>
              <w:t> </w:t>
            </w:r>
            <w:r>
              <w:rPr>
                <w:rFonts w:hint="eastAsia" w:ascii="仿宋_GB2312" w:eastAsia="仿宋_GB2312" w:cs="宋体"/>
                <w:kern w:val="0"/>
                <w:sz w:val="32"/>
                <w:szCs w:val="32"/>
              </w:rPr>
              <w:t>全额供给</w:t>
            </w:r>
          </w:p>
        </w:tc>
        <w:tc>
          <w:tcPr>
            <w:tcW w:w="2131" w:type="dxa"/>
            <w:tcBorders>
              <w:top w:val="single" w:color="auto" w:sz="4" w:space="0"/>
              <w:left w:val="single" w:color="auto" w:sz="4" w:space="0"/>
              <w:bottom w:val="single" w:color="auto" w:sz="4" w:space="0"/>
              <w:right w:val="single" w:color="auto" w:sz="4" w:space="0"/>
            </w:tcBorders>
          </w:tcPr>
          <w:p w14:paraId="6B786AA8">
            <w:pPr>
              <w:widowControl/>
              <w:tabs>
                <w:tab w:val="left" w:pos="7513"/>
              </w:tabs>
              <w:adjustRightInd w:val="0"/>
              <w:snapToGrid w:val="0"/>
              <w:spacing w:before="100" w:beforeAutospacing="1" w:after="100" w:afterAutospacing="1" w:line="600" w:lineRule="exact"/>
              <w:ind w:firstLine="200"/>
              <w:contextualSpacing/>
              <w:jc w:val="left"/>
              <w:rPr>
                <w:rFonts w:ascii="仿宋_GB2312" w:eastAsia="仿宋_GB2312" w:cs="宋体"/>
                <w:kern w:val="0"/>
                <w:sz w:val="32"/>
                <w:szCs w:val="32"/>
              </w:rPr>
            </w:pPr>
            <w:r>
              <w:rPr>
                <w:rFonts w:ascii="仿宋_GB2312" w:eastAsia="仿宋_GB2312" w:cs="宋体"/>
                <w:kern w:val="0"/>
                <w:sz w:val="32"/>
                <w:szCs w:val="32"/>
              </w:rPr>
              <w:t> </w:t>
            </w:r>
            <w:r>
              <w:rPr>
                <w:rFonts w:hint="eastAsia" w:ascii="仿宋_GB2312" w:eastAsia="仿宋_GB2312" w:cs="宋体"/>
                <w:kern w:val="0"/>
                <w:sz w:val="32"/>
                <w:szCs w:val="32"/>
              </w:rPr>
              <w:t xml:space="preserve"> 19</w:t>
            </w:r>
          </w:p>
        </w:tc>
        <w:tc>
          <w:tcPr>
            <w:tcW w:w="2131" w:type="dxa"/>
            <w:tcBorders>
              <w:top w:val="single" w:color="auto" w:sz="4" w:space="0"/>
              <w:left w:val="single" w:color="auto" w:sz="4" w:space="0"/>
              <w:bottom w:val="single" w:color="auto" w:sz="4" w:space="0"/>
              <w:right w:val="single" w:color="auto" w:sz="4" w:space="0"/>
            </w:tcBorders>
          </w:tcPr>
          <w:p w14:paraId="175DD811">
            <w:pPr>
              <w:widowControl/>
              <w:tabs>
                <w:tab w:val="left" w:pos="7513"/>
              </w:tabs>
              <w:adjustRightInd w:val="0"/>
              <w:snapToGrid w:val="0"/>
              <w:spacing w:before="100" w:beforeAutospacing="1" w:after="100" w:afterAutospacing="1" w:line="600" w:lineRule="exact"/>
              <w:ind w:firstLine="200"/>
              <w:contextualSpacing/>
              <w:jc w:val="left"/>
              <w:rPr>
                <w:rFonts w:ascii="仿宋_GB2312" w:eastAsia="仿宋_GB2312" w:cs="宋体"/>
                <w:kern w:val="0"/>
                <w:sz w:val="32"/>
                <w:szCs w:val="32"/>
              </w:rPr>
            </w:pPr>
            <w:r>
              <w:rPr>
                <w:rFonts w:ascii="仿宋_GB2312" w:eastAsia="仿宋_GB2312" w:cs="宋体"/>
                <w:kern w:val="0"/>
                <w:sz w:val="32"/>
                <w:szCs w:val="32"/>
              </w:rPr>
              <w:t> </w:t>
            </w:r>
            <w:r>
              <w:rPr>
                <w:rFonts w:hint="eastAsia" w:ascii="仿宋_GB2312" w:eastAsia="仿宋_GB2312" w:cs="宋体"/>
                <w:kern w:val="0"/>
                <w:sz w:val="32"/>
                <w:szCs w:val="32"/>
              </w:rPr>
              <w:t xml:space="preserve"> 18</w:t>
            </w:r>
          </w:p>
        </w:tc>
      </w:tr>
    </w:tbl>
    <w:p w14:paraId="1BAB1047">
      <w:pPr>
        <w:widowControl/>
        <w:shd w:val="clear" w:color="auto" w:fill="FFFFFF"/>
        <w:snapToGrid w:val="0"/>
        <w:spacing w:before="100" w:beforeAutospacing="1" w:after="100" w:afterAutospacing="1" w:line="600" w:lineRule="exact"/>
        <w:ind w:left="0"/>
        <w:contextualSpacing/>
        <w:jc w:val="left"/>
        <w:rPr>
          <w:rFonts w:ascii="宋体" w:eastAsia="宋体" w:cs="宋体"/>
          <w:kern w:val="0"/>
          <w:sz w:val="24"/>
          <w:szCs w:val="24"/>
        </w:rPr>
      </w:pPr>
    </w:p>
    <w:p w14:paraId="7F2E9D6A">
      <w:pPr>
        <w:widowControl/>
        <w:shd w:val="clear" w:color="auto" w:fill="FFFFFF"/>
        <w:snapToGrid w:val="0"/>
        <w:spacing w:before="100" w:beforeAutospacing="1" w:after="100" w:afterAutospacing="1" w:line="600" w:lineRule="exact"/>
        <w:ind w:firstLine="640" w:firstLineChars="200"/>
        <w:contextualSpacing/>
        <w:jc w:val="left"/>
        <w:rPr>
          <w:rFonts w:ascii="宋体" w:eastAsia="宋体" w:cs="宋体"/>
          <w:kern w:val="0"/>
          <w:sz w:val="24"/>
          <w:szCs w:val="24"/>
        </w:rPr>
      </w:pPr>
      <w:r>
        <w:rPr>
          <w:rFonts w:hint="eastAsia" w:ascii="黑体" w:eastAsia="黑体" w:cs="宋体"/>
          <w:kern w:val="0"/>
          <w:sz w:val="32"/>
          <w:szCs w:val="32"/>
        </w:rPr>
        <w:t>三、部门主要工作总结</w:t>
      </w:r>
    </w:p>
    <w:p w14:paraId="07A1A159">
      <w:pPr>
        <w:spacing w:line="600" w:lineRule="exact"/>
        <w:ind w:firstLine="640" w:firstLineChars="200"/>
        <w:rPr>
          <w:rFonts w:ascii="仿宋_GB2312" w:eastAsia="仿宋_GB2312" w:cs="Times New Roman"/>
          <w:sz w:val="32"/>
          <w:szCs w:val="32"/>
        </w:rPr>
      </w:pPr>
      <w:r>
        <w:rPr>
          <w:rFonts w:hint="eastAsia" w:ascii="仿宋_GB2312" w:eastAsia="仿宋_GB2312" w:cs="宋体"/>
          <w:kern w:val="0"/>
          <w:sz w:val="32"/>
          <w:szCs w:val="32"/>
        </w:rPr>
        <w:t>2017年，厦门市金融工作办公室部门主要任务是：</w:t>
      </w:r>
      <w:r>
        <w:rPr>
          <w:rFonts w:hint="eastAsia" w:ascii="仿宋_GB2312" w:eastAsia="仿宋_GB2312" w:cs="Times New Roman"/>
          <w:sz w:val="32"/>
          <w:szCs w:val="32"/>
        </w:rPr>
        <w:t>在市委、市政府的正确领导下，持续强化金融服务实体经济能力，做好金融风险防控，深化金融改革创新，积极推进两岸区域性金融服务中心建设，推动全市金融业继续保持快速健康发展，推动金融工作再上新台阶。</w:t>
      </w:r>
    </w:p>
    <w:p w14:paraId="6FBC0F5D">
      <w:pPr>
        <w:spacing w:line="600" w:lineRule="exact"/>
        <w:ind w:firstLine="640" w:firstLineChars="200"/>
        <w:rPr>
          <w:rFonts w:ascii="仿宋_GB2312" w:eastAsia="仿宋_GB2312" w:cs="Times New Roman"/>
          <w:sz w:val="32"/>
          <w:szCs w:val="32"/>
        </w:rPr>
      </w:pPr>
      <w:r>
        <w:rPr>
          <w:rFonts w:hint="eastAsia" w:ascii="仿宋_GB2312" w:eastAsia="仿宋_GB2312"/>
          <w:bCs/>
          <w:sz w:val="32"/>
          <w:szCs w:val="32"/>
        </w:rPr>
        <w:t>（</w:t>
      </w:r>
      <w:r>
        <w:rPr>
          <w:rFonts w:hint="eastAsia" w:ascii="仿宋_GB2312" w:eastAsia="仿宋_GB2312" w:cs="Times New Roman"/>
          <w:bCs/>
          <w:sz w:val="32"/>
          <w:szCs w:val="32"/>
        </w:rPr>
        <w:t>一</w:t>
      </w:r>
      <w:r>
        <w:rPr>
          <w:rFonts w:hint="eastAsia" w:ascii="仿宋_GB2312" w:eastAsia="仿宋_GB2312"/>
          <w:bCs/>
          <w:sz w:val="32"/>
          <w:szCs w:val="32"/>
        </w:rPr>
        <w:t>）</w:t>
      </w:r>
      <w:r>
        <w:rPr>
          <w:rFonts w:hint="eastAsia" w:ascii="仿宋_GB2312" w:eastAsia="仿宋_GB2312" w:cs="Times New Roman"/>
          <w:sz w:val="32"/>
          <w:szCs w:val="32"/>
        </w:rPr>
        <w:t>积极推进金融招商引资。继续大力引进各类金融主体，新增1家法人金融机构、13家区域性分支机构，推动合资全牌照证券公司等法人金融机构加快筹建。鼓励支持小额贷款、融资租赁、股权投资等地方金融行业发展。</w:t>
      </w:r>
    </w:p>
    <w:p w14:paraId="230137F5">
      <w:pPr>
        <w:spacing w:line="620" w:lineRule="exact"/>
        <w:ind w:firstLine="640" w:firstLineChars="200"/>
        <w:rPr>
          <w:rFonts w:ascii="仿宋_GB2312" w:eastAsia="仿宋_GB2312" w:cs="Times New Roman"/>
          <w:sz w:val="32"/>
          <w:szCs w:val="32"/>
        </w:rPr>
      </w:pPr>
      <w:r>
        <w:rPr>
          <w:rFonts w:hint="eastAsia" w:ascii="仿宋_GB2312" w:eastAsia="仿宋_GB2312"/>
          <w:sz w:val="32"/>
          <w:szCs w:val="32"/>
        </w:rPr>
        <w:t>（</w:t>
      </w:r>
      <w:r>
        <w:rPr>
          <w:rFonts w:hint="eastAsia" w:ascii="仿宋_GB2312" w:eastAsia="仿宋_GB2312" w:cs="Times New Roman"/>
          <w:sz w:val="32"/>
          <w:szCs w:val="32"/>
        </w:rPr>
        <w:t>二</w:t>
      </w:r>
      <w:r>
        <w:rPr>
          <w:rFonts w:hint="eastAsia" w:ascii="仿宋_GB2312" w:eastAsia="仿宋_GB2312"/>
          <w:sz w:val="32"/>
          <w:szCs w:val="32"/>
        </w:rPr>
        <w:t>）</w:t>
      </w:r>
      <w:r>
        <w:rPr>
          <w:rFonts w:hint="eastAsia" w:ascii="仿宋_GB2312" w:eastAsia="仿宋_GB2312" w:cs="Times New Roman"/>
          <w:sz w:val="32"/>
          <w:szCs w:val="32"/>
        </w:rPr>
        <w:t>加强企业融资金融服务。推进多层次资本市场建设，推动企业在多层次资本市场挂牌、上市。持续优化政银企线上线下对接机制，实现资金项目实时对接，打造永不落幕的政银企对接会。加强小微“双创”企业等薄弱环节支持力度，实施小微企业贷款保证保险，在全省率先完成政策性融资担保机构设立（增资）任务。牵头组织金砖会晤金融服务保障工作，圆满完成保障任务。</w:t>
      </w:r>
    </w:p>
    <w:p w14:paraId="6118CBCD">
      <w:pPr>
        <w:spacing w:line="620" w:lineRule="exact"/>
        <w:ind w:firstLine="640" w:firstLineChars="200"/>
        <w:rPr>
          <w:rFonts w:ascii="仿宋_GB2312" w:eastAsia="仿宋_GB2312" w:cs="Times New Roman"/>
          <w:bCs/>
          <w:sz w:val="32"/>
          <w:szCs w:val="32"/>
        </w:rPr>
      </w:pPr>
      <w:r>
        <w:rPr>
          <w:rFonts w:hint="eastAsia" w:ascii="仿宋_GB2312" w:eastAsia="仿宋_GB2312"/>
          <w:bCs/>
          <w:sz w:val="32"/>
          <w:szCs w:val="32"/>
        </w:rPr>
        <w:t>（</w:t>
      </w:r>
      <w:r>
        <w:rPr>
          <w:rFonts w:hint="eastAsia" w:ascii="仿宋_GB2312" w:eastAsia="仿宋_GB2312" w:cs="Times New Roman"/>
          <w:bCs/>
          <w:sz w:val="32"/>
          <w:szCs w:val="32"/>
        </w:rPr>
        <w:t>三</w:t>
      </w:r>
      <w:r>
        <w:rPr>
          <w:rFonts w:hint="eastAsia" w:ascii="仿宋_GB2312" w:eastAsia="仿宋_GB2312"/>
          <w:bCs/>
          <w:sz w:val="32"/>
          <w:szCs w:val="32"/>
        </w:rPr>
        <w:t>）</w:t>
      </w:r>
      <w:r>
        <w:rPr>
          <w:rFonts w:hint="eastAsia" w:ascii="仿宋_GB2312" w:eastAsia="仿宋_GB2312" w:cs="Times New Roman"/>
          <w:bCs/>
          <w:sz w:val="32"/>
          <w:szCs w:val="32"/>
        </w:rPr>
        <w:t xml:space="preserve">持续推动金融改革创新。推进自贸试验区金融改革试验，加快落实各项金融开放创新举措。出台《厦门市金融业“十三五”发展专项规划》，修订“两岸金融中心”扶持奖励政策，大力发展绿色金融、金融科技，加快黄金产业建设。  </w:t>
      </w:r>
    </w:p>
    <w:p w14:paraId="226DFC8B">
      <w:pPr>
        <w:spacing w:line="620" w:lineRule="exact"/>
        <w:ind w:firstLine="640" w:firstLineChars="200"/>
        <w:rPr>
          <w:rFonts w:ascii="仿宋_GB2312" w:eastAsia="仿宋_GB2312" w:cs="Times New Roman"/>
          <w:bCs/>
          <w:sz w:val="32"/>
          <w:szCs w:val="32"/>
        </w:rPr>
      </w:pPr>
      <w:r>
        <w:rPr>
          <w:rFonts w:hint="eastAsia" w:ascii="仿宋_GB2312" w:eastAsia="仿宋_GB2312"/>
          <w:bCs/>
          <w:sz w:val="32"/>
          <w:szCs w:val="32"/>
        </w:rPr>
        <w:t>（四）</w:t>
      </w:r>
      <w:r>
        <w:rPr>
          <w:rFonts w:hint="eastAsia" w:ascii="仿宋_GB2312" w:eastAsia="仿宋_GB2312" w:cs="Times New Roman"/>
          <w:bCs/>
          <w:sz w:val="32"/>
          <w:szCs w:val="32"/>
        </w:rPr>
        <w:t>强化金融风险防范处置。健全全市不良贷款会商处置机制，开展打击恶意逃废债专项行动，化解银行信贷风险。扎实开展交易场所清理整顿，实施互联网金融风险专项整治，严厉打击非法金融活动。广泛开展各类金融公益宣传教育活动，有效净化金融市场环境。</w:t>
      </w:r>
    </w:p>
    <w:p w14:paraId="32AEF136">
      <w:pPr>
        <w:widowControl/>
        <w:shd w:val="clear" w:color="auto" w:fill="FFFFFF"/>
        <w:snapToGrid w:val="0"/>
        <w:spacing w:before="100" w:beforeAutospacing="1" w:after="100" w:afterAutospacing="1" w:line="600" w:lineRule="exact"/>
        <w:ind w:firstLine="640" w:firstLineChars="200"/>
        <w:contextualSpacing/>
        <w:jc w:val="left"/>
        <w:rPr>
          <w:rFonts w:ascii="宋体" w:eastAsia="宋体" w:cs="宋体"/>
          <w:kern w:val="0"/>
          <w:sz w:val="24"/>
          <w:szCs w:val="24"/>
        </w:rPr>
      </w:pPr>
      <w:r>
        <w:rPr>
          <w:rFonts w:hint="eastAsia" w:ascii="黑体" w:eastAsia="黑体" w:cs="宋体"/>
          <w:kern w:val="0"/>
          <w:sz w:val="32"/>
          <w:szCs w:val="32"/>
        </w:rPr>
        <w:t>四、2017年决算收支总体情况</w:t>
      </w:r>
    </w:p>
    <w:p w14:paraId="1CD4963C">
      <w:pPr>
        <w:widowControl/>
        <w:shd w:val="clear" w:color="auto" w:fill="FFFFFF"/>
        <w:tabs>
          <w:tab w:val="left" w:pos="7513"/>
        </w:tabs>
        <w:adjustRightInd w:val="0"/>
        <w:snapToGrid w:val="0"/>
        <w:spacing w:before="100" w:beforeAutospacing="1" w:after="100" w:afterAutospacing="1" w:line="600" w:lineRule="exact"/>
        <w:ind w:firstLine="640" w:firstLineChars="200"/>
        <w:contextualSpacing/>
        <w:jc w:val="left"/>
        <w:rPr>
          <w:rFonts w:ascii="宋体" w:eastAsia="宋体" w:cs="宋体"/>
          <w:kern w:val="0"/>
          <w:sz w:val="24"/>
          <w:szCs w:val="24"/>
        </w:rPr>
      </w:pPr>
      <w:r>
        <w:rPr>
          <w:rFonts w:hint="eastAsia" w:ascii="仿宋_GB2312" w:eastAsia="仿宋_GB2312" w:cs="仿宋_GB2312"/>
          <w:kern w:val="0"/>
          <w:sz w:val="32"/>
          <w:szCs w:val="32"/>
        </w:rPr>
        <w:t>2017年</w:t>
      </w:r>
      <w:r>
        <w:rPr>
          <w:rFonts w:hint="eastAsia" w:ascii="仿宋_GB2312" w:eastAsia="仿宋_GB2312" w:cs="宋体"/>
          <w:kern w:val="0"/>
          <w:sz w:val="32"/>
          <w:szCs w:val="32"/>
        </w:rPr>
        <w:t>厦门市金融工作办公室</w:t>
      </w:r>
      <w:r>
        <w:rPr>
          <w:rFonts w:hint="eastAsia" w:ascii="仿宋_GB2312" w:eastAsia="仿宋_GB2312" w:cs="仿宋_GB2312"/>
          <w:kern w:val="0"/>
          <w:sz w:val="32"/>
          <w:szCs w:val="32"/>
        </w:rPr>
        <w:t>部门年初结转和结余198.34万元，本年收入12,426.68万元，本年支出12,333.11万元，事业基金弥补收支差额0.00万元，结余分配0.00万元，年末结转和结余291.91万元。</w:t>
      </w:r>
    </w:p>
    <w:p w14:paraId="066FCBCC">
      <w:pPr>
        <w:widowControl/>
        <w:shd w:val="clear" w:color="auto" w:fill="FFFFFF"/>
        <w:adjustRightInd w:val="0"/>
        <w:snapToGrid w:val="0"/>
        <w:spacing w:before="100" w:beforeAutospacing="1" w:after="100" w:afterAutospacing="1" w:line="600" w:lineRule="exact"/>
        <w:ind w:firstLine="640" w:firstLineChars="200"/>
        <w:contextualSpacing/>
        <w:jc w:val="left"/>
        <w:rPr>
          <w:rFonts w:ascii="宋体" w:eastAsia="宋体" w:cs="宋体"/>
          <w:kern w:val="0"/>
          <w:sz w:val="24"/>
          <w:szCs w:val="24"/>
        </w:rPr>
      </w:pPr>
      <w:r>
        <w:rPr>
          <w:rFonts w:hint="eastAsia" w:ascii="仿宋_GB2312" w:eastAsia="仿宋_GB2312" w:cs="仿宋_GB2312"/>
          <w:kern w:val="0"/>
          <w:sz w:val="32"/>
          <w:szCs w:val="32"/>
        </w:rPr>
        <w:t>（一）2017年收入12,426.68万元，比2016年决算数增加4,000.15万元，增长47.47％</w:t>
      </w:r>
      <w:r>
        <w:rPr>
          <w:rFonts w:hint="eastAsia" w:ascii="仿宋_GB2312" w:eastAsia="仿宋_GB2312" w:cs="宋体"/>
          <w:kern w:val="0"/>
          <w:sz w:val="32"/>
          <w:szCs w:val="32"/>
        </w:rPr>
        <w:t>，</w:t>
      </w:r>
      <w:r>
        <w:rPr>
          <w:rFonts w:hint="eastAsia" w:ascii="仿宋_GB2312" w:eastAsia="仿宋_GB2312" w:cs="仿宋_GB2312"/>
          <w:kern w:val="0"/>
          <w:sz w:val="32"/>
          <w:szCs w:val="32"/>
        </w:rPr>
        <w:t>具体情况如下：</w:t>
      </w:r>
    </w:p>
    <w:p w14:paraId="387279B1">
      <w:pPr>
        <w:widowControl/>
        <w:shd w:val="clear" w:color="auto" w:fill="FFFFFF"/>
        <w:adjustRightInd w:val="0"/>
        <w:snapToGrid w:val="0"/>
        <w:spacing w:before="100" w:beforeAutospacing="1" w:after="100" w:afterAutospacing="1" w:line="600" w:lineRule="exact"/>
        <w:ind w:left="160" w:leftChars="76" w:firstLine="480" w:firstLineChars="150"/>
        <w:contextualSpacing/>
        <w:jc w:val="left"/>
        <w:rPr>
          <w:rFonts w:ascii="宋体" w:eastAsia="宋体" w:cs="宋体"/>
          <w:kern w:val="0"/>
          <w:sz w:val="24"/>
          <w:szCs w:val="24"/>
        </w:rPr>
      </w:pPr>
      <w:r>
        <w:rPr>
          <w:rFonts w:hint="eastAsia" w:ascii="仿宋_GB2312" w:eastAsia="仿宋_GB2312" w:cs="仿宋_GB2312"/>
          <w:kern w:val="0"/>
          <w:sz w:val="32"/>
          <w:szCs w:val="32"/>
        </w:rPr>
        <w:t>1.财政拨款收入12,426.62万元，其中政府性基金0.00万元。</w:t>
      </w:r>
    </w:p>
    <w:p w14:paraId="50BA4FE0">
      <w:pPr>
        <w:widowControl/>
        <w:shd w:val="clear" w:color="auto" w:fill="FFFFFF"/>
        <w:adjustRightInd w:val="0"/>
        <w:snapToGrid w:val="0"/>
        <w:spacing w:before="100" w:beforeAutospacing="1" w:after="100" w:afterAutospacing="1" w:line="600" w:lineRule="exact"/>
        <w:ind w:firstLine="640" w:firstLineChars="200"/>
        <w:contextualSpacing/>
        <w:jc w:val="left"/>
        <w:rPr>
          <w:rFonts w:ascii="宋体" w:eastAsia="宋体" w:cs="宋体"/>
          <w:kern w:val="0"/>
          <w:sz w:val="24"/>
          <w:szCs w:val="24"/>
        </w:rPr>
      </w:pPr>
      <w:r>
        <w:rPr>
          <w:rFonts w:hint="eastAsia" w:ascii="仿宋_GB2312" w:eastAsia="仿宋_GB2312" w:cs="仿宋_GB2312"/>
          <w:kern w:val="0"/>
          <w:sz w:val="32"/>
          <w:szCs w:val="32"/>
        </w:rPr>
        <w:t>2.事业收入0.00万元。</w:t>
      </w:r>
    </w:p>
    <w:p w14:paraId="2964E96B">
      <w:pPr>
        <w:widowControl/>
        <w:shd w:val="clear" w:color="auto" w:fill="FFFFFF"/>
        <w:adjustRightInd w:val="0"/>
        <w:snapToGrid w:val="0"/>
        <w:spacing w:before="100" w:beforeAutospacing="1" w:after="100" w:afterAutospacing="1" w:line="600" w:lineRule="exact"/>
        <w:ind w:firstLine="640" w:firstLineChars="200"/>
        <w:contextualSpacing/>
        <w:jc w:val="left"/>
        <w:rPr>
          <w:rFonts w:ascii="宋体" w:eastAsia="宋体" w:cs="宋体"/>
          <w:kern w:val="0"/>
          <w:sz w:val="24"/>
          <w:szCs w:val="24"/>
        </w:rPr>
      </w:pPr>
      <w:r>
        <w:rPr>
          <w:rFonts w:hint="eastAsia" w:ascii="仿宋_GB2312" w:eastAsia="仿宋_GB2312" w:cs="仿宋_GB2312"/>
          <w:kern w:val="0"/>
          <w:sz w:val="32"/>
          <w:szCs w:val="32"/>
        </w:rPr>
        <w:t>3.经营收入0.00万元。</w:t>
      </w:r>
    </w:p>
    <w:p w14:paraId="6A48D639">
      <w:pPr>
        <w:widowControl/>
        <w:shd w:val="clear" w:color="auto" w:fill="FFFFFF"/>
        <w:adjustRightInd w:val="0"/>
        <w:snapToGrid w:val="0"/>
        <w:spacing w:before="100" w:beforeAutospacing="1" w:after="100" w:afterAutospacing="1" w:line="600" w:lineRule="exact"/>
        <w:ind w:firstLine="640" w:firstLineChars="200"/>
        <w:contextualSpacing/>
        <w:jc w:val="left"/>
        <w:rPr>
          <w:rFonts w:ascii="宋体" w:eastAsia="宋体" w:cs="宋体"/>
          <w:kern w:val="0"/>
          <w:sz w:val="24"/>
          <w:szCs w:val="24"/>
        </w:rPr>
      </w:pPr>
      <w:r>
        <w:rPr>
          <w:rFonts w:hint="eastAsia" w:ascii="仿宋_GB2312" w:eastAsia="仿宋_GB2312" w:cs="仿宋_GB2312"/>
          <w:kern w:val="0"/>
          <w:sz w:val="32"/>
          <w:szCs w:val="32"/>
        </w:rPr>
        <w:t>4.</w:t>
      </w:r>
      <w:r>
        <w:rPr>
          <w:rFonts w:hint="eastAsia" w:ascii="仿宋_GB2312" w:eastAsia="仿宋_GB2312" w:cs="宋体"/>
          <w:kern w:val="0"/>
          <w:sz w:val="32"/>
          <w:szCs w:val="32"/>
        </w:rPr>
        <w:t>上级补助收入</w:t>
      </w:r>
      <w:r>
        <w:rPr>
          <w:rFonts w:hint="eastAsia" w:ascii="仿宋_GB2312" w:eastAsia="仿宋_GB2312" w:cs="仿宋_GB2312"/>
          <w:kern w:val="0"/>
          <w:sz w:val="32"/>
          <w:szCs w:val="32"/>
        </w:rPr>
        <w:t>0.00</w:t>
      </w:r>
      <w:r>
        <w:rPr>
          <w:rFonts w:hint="eastAsia" w:ascii="仿宋_GB2312" w:eastAsia="仿宋_GB2312" w:cs="宋体"/>
          <w:kern w:val="0"/>
          <w:sz w:val="32"/>
          <w:szCs w:val="32"/>
        </w:rPr>
        <w:t>万元。</w:t>
      </w:r>
    </w:p>
    <w:p w14:paraId="6B91B987">
      <w:pPr>
        <w:widowControl/>
        <w:shd w:val="clear" w:color="auto" w:fill="FFFFFF"/>
        <w:adjustRightInd w:val="0"/>
        <w:snapToGrid w:val="0"/>
        <w:spacing w:before="100" w:beforeAutospacing="1" w:after="100" w:afterAutospacing="1" w:line="600" w:lineRule="exact"/>
        <w:ind w:firstLine="640" w:firstLineChars="200"/>
        <w:contextualSpacing/>
        <w:jc w:val="left"/>
        <w:rPr>
          <w:rFonts w:ascii="宋体" w:eastAsia="宋体" w:cs="宋体"/>
          <w:kern w:val="0"/>
          <w:sz w:val="24"/>
          <w:szCs w:val="24"/>
        </w:rPr>
      </w:pPr>
      <w:r>
        <w:rPr>
          <w:rFonts w:hint="eastAsia" w:ascii="仿宋_GB2312" w:eastAsia="仿宋_GB2312" w:cs="仿宋_GB2312"/>
          <w:kern w:val="0"/>
          <w:sz w:val="32"/>
          <w:szCs w:val="32"/>
        </w:rPr>
        <w:t>5.附属单位上缴收入0.00万元。</w:t>
      </w:r>
    </w:p>
    <w:p w14:paraId="136475DC">
      <w:pPr>
        <w:widowControl/>
        <w:shd w:val="clear" w:color="auto" w:fill="FFFFFF"/>
        <w:adjustRightInd w:val="0"/>
        <w:snapToGrid w:val="0"/>
        <w:spacing w:before="100" w:beforeAutospacing="1" w:after="100" w:afterAutospacing="1" w:line="600" w:lineRule="exact"/>
        <w:ind w:firstLine="640" w:firstLineChars="200"/>
        <w:contextualSpacing/>
        <w:jc w:val="left"/>
        <w:rPr>
          <w:rFonts w:ascii="宋体" w:eastAsia="宋体" w:cs="宋体"/>
          <w:kern w:val="0"/>
          <w:sz w:val="24"/>
          <w:szCs w:val="24"/>
        </w:rPr>
      </w:pPr>
      <w:r>
        <w:rPr>
          <w:rFonts w:hint="eastAsia" w:ascii="仿宋_GB2312" w:eastAsia="仿宋_GB2312" w:cs="仿宋_GB2312"/>
          <w:kern w:val="0"/>
          <w:sz w:val="32"/>
          <w:szCs w:val="32"/>
        </w:rPr>
        <w:t>6.其他收入0.07万元。</w:t>
      </w:r>
    </w:p>
    <w:p w14:paraId="1E165683">
      <w:pPr>
        <w:widowControl/>
        <w:shd w:val="clear" w:color="auto" w:fill="FFFFFF"/>
        <w:adjustRightInd w:val="0"/>
        <w:snapToGrid w:val="0"/>
        <w:spacing w:before="100" w:beforeAutospacing="1" w:after="100" w:afterAutospacing="1" w:line="600" w:lineRule="exact"/>
        <w:ind w:firstLine="640" w:firstLineChars="200"/>
        <w:contextualSpacing/>
        <w:jc w:val="left"/>
        <w:rPr>
          <w:rFonts w:ascii="宋体" w:eastAsia="宋体" w:cs="宋体"/>
          <w:kern w:val="0"/>
          <w:sz w:val="24"/>
          <w:szCs w:val="24"/>
        </w:rPr>
      </w:pPr>
      <w:r>
        <w:rPr>
          <w:rFonts w:hint="eastAsia" w:ascii="仿宋_GB2312" w:eastAsia="仿宋_GB2312" w:cs="仿宋_GB2312"/>
          <w:kern w:val="0"/>
          <w:sz w:val="32"/>
          <w:szCs w:val="32"/>
        </w:rPr>
        <w:t>（二）2017年本年支出12,333.11万元，比2016年决算数增加4,281.62万元，增长53.18％</w:t>
      </w:r>
      <w:r>
        <w:rPr>
          <w:rFonts w:hint="eastAsia" w:ascii="仿宋_GB2312" w:eastAsia="仿宋_GB2312" w:cs="宋体"/>
          <w:kern w:val="0"/>
          <w:sz w:val="32"/>
          <w:szCs w:val="32"/>
        </w:rPr>
        <w:t>，</w:t>
      </w:r>
      <w:r>
        <w:rPr>
          <w:rFonts w:hint="eastAsia" w:ascii="仿宋_GB2312" w:eastAsia="仿宋_GB2312" w:cs="仿宋_GB2312"/>
          <w:kern w:val="0"/>
          <w:sz w:val="32"/>
          <w:szCs w:val="32"/>
        </w:rPr>
        <w:t>具体情况如下：</w:t>
      </w:r>
    </w:p>
    <w:p w14:paraId="437B2EC1">
      <w:pPr>
        <w:widowControl/>
        <w:shd w:val="clear" w:color="auto" w:fill="FFFFFF"/>
        <w:tabs>
          <w:tab w:val="left" w:pos="7513"/>
        </w:tabs>
        <w:adjustRightInd w:val="0"/>
        <w:snapToGrid w:val="0"/>
        <w:spacing w:before="100" w:beforeAutospacing="1" w:after="100" w:afterAutospacing="1" w:line="600" w:lineRule="exact"/>
        <w:ind w:left="237" w:leftChars="113" w:firstLine="480" w:firstLineChars="150"/>
        <w:contextualSpacing/>
        <w:jc w:val="left"/>
        <w:rPr>
          <w:rFonts w:ascii="宋体" w:eastAsia="宋体" w:cs="宋体"/>
          <w:kern w:val="0"/>
          <w:sz w:val="24"/>
          <w:szCs w:val="24"/>
        </w:rPr>
      </w:pPr>
      <w:r>
        <w:rPr>
          <w:rFonts w:hint="eastAsia" w:ascii="仿宋_GB2312" w:eastAsia="仿宋_GB2312" w:cs="仿宋_GB2312"/>
          <w:kern w:val="0"/>
          <w:sz w:val="32"/>
          <w:szCs w:val="32"/>
        </w:rPr>
        <w:t>1.基本支出656.60万元。其中，人员支出553.82万元，公用支出102.79万元。</w:t>
      </w:r>
    </w:p>
    <w:p w14:paraId="2FB59A67">
      <w:pPr>
        <w:widowControl/>
        <w:shd w:val="clear" w:color="auto" w:fill="FFFFFF"/>
        <w:tabs>
          <w:tab w:val="left" w:pos="7513"/>
        </w:tabs>
        <w:adjustRightInd w:val="0"/>
        <w:snapToGrid w:val="0"/>
        <w:spacing w:before="100" w:beforeAutospacing="1" w:after="100" w:afterAutospacing="1" w:line="600" w:lineRule="exact"/>
        <w:ind w:left="237" w:leftChars="113" w:firstLine="480" w:firstLineChars="150"/>
        <w:contextualSpacing/>
        <w:jc w:val="left"/>
        <w:rPr>
          <w:rFonts w:ascii="宋体" w:eastAsia="宋体" w:cs="宋体"/>
          <w:kern w:val="0"/>
          <w:sz w:val="24"/>
          <w:szCs w:val="24"/>
        </w:rPr>
      </w:pPr>
      <w:r>
        <w:rPr>
          <w:rFonts w:hint="eastAsia" w:ascii="仿宋_GB2312" w:eastAsia="仿宋_GB2312" w:cs="仿宋_GB2312"/>
          <w:kern w:val="0"/>
          <w:sz w:val="32"/>
          <w:szCs w:val="32"/>
        </w:rPr>
        <w:t>2.项目支出11,676.51万元。</w:t>
      </w:r>
    </w:p>
    <w:p w14:paraId="20DB5D06">
      <w:pPr>
        <w:widowControl/>
        <w:shd w:val="clear" w:color="auto" w:fill="FFFFFF"/>
        <w:tabs>
          <w:tab w:val="left" w:pos="7513"/>
        </w:tabs>
        <w:adjustRightInd w:val="0"/>
        <w:snapToGrid w:val="0"/>
        <w:spacing w:before="100" w:beforeAutospacing="1" w:after="100" w:afterAutospacing="1" w:line="600" w:lineRule="exact"/>
        <w:ind w:left="237" w:leftChars="113" w:firstLine="480" w:firstLineChars="150"/>
        <w:contextualSpacing/>
        <w:jc w:val="left"/>
        <w:rPr>
          <w:rFonts w:ascii="宋体" w:eastAsia="宋体" w:cs="宋体"/>
          <w:kern w:val="0"/>
          <w:sz w:val="24"/>
          <w:szCs w:val="24"/>
        </w:rPr>
      </w:pPr>
      <w:r>
        <w:rPr>
          <w:rFonts w:hint="eastAsia" w:ascii="仿宋_GB2312" w:eastAsia="仿宋_GB2312" w:cs="仿宋_GB2312"/>
          <w:kern w:val="0"/>
          <w:sz w:val="32"/>
          <w:szCs w:val="32"/>
        </w:rPr>
        <w:t>3.上缴上级支出0.00万元。</w:t>
      </w:r>
    </w:p>
    <w:p w14:paraId="3A771C4B">
      <w:pPr>
        <w:widowControl/>
        <w:shd w:val="clear" w:color="auto" w:fill="FFFFFF"/>
        <w:tabs>
          <w:tab w:val="left" w:pos="7513"/>
        </w:tabs>
        <w:adjustRightInd w:val="0"/>
        <w:snapToGrid w:val="0"/>
        <w:spacing w:before="100" w:beforeAutospacing="1" w:after="100" w:afterAutospacing="1" w:line="600" w:lineRule="exact"/>
        <w:ind w:left="237" w:leftChars="113" w:firstLine="480" w:firstLineChars="150"/>
        <w:contextualSpacing/>
        <w:jc w:val="left"/>
        <w:rPr>
          <w:rFonts w:ascii="宋体" w:eastAsia="宋体" w:cs="宋体"/>
          <w:kern w:val="0"/>
          <w:sz w:val="24"/>
          <w:szCs w:val="24"/>
        </w:rPr>
      </w:pPr>
      <w:r>
        <w:rPr>
          <w:rFonts w:hint="eastAsia" w:ascii="仿宋_GB2312" w:eastAsia="仿宋_GB2312" w:cs="仿宋_GB2312"/>
          <w:kern w:val="0"/>
          <w:sz w:val="32"/>
          <w:szCs w:val="32"/>
        </w:rPr>
        <w:t>4.经营支出0.00万元。</w:t>
      </w:r>
    </w:p>
    <w:p w14:paraId="1E39C3B6">
      <w:pPr>
        <w:widowControl/>
        <w:shd w:val="clear" w:color="auto" w:fill="FFFFFF"/>
        <w:tabs>
          <w:tab w:val="left" w:pos="7513"/>
        </w:tabs>
        <w:adjustRightInd w:val="0"/>
        <w:snapToGrid w:val="0"/>
        <w:spacing w:before="100" w:beforeAutospacing="1" w:after="100" w:afterAutospacing="1" w:line="600" w:lineRule="exact"/>
        <w:ind w:left="237" w:leftChars="113" w:firstLine="480" w:firstLineChars="150"/>
        <w:contextualSpacing/>
        <w:jc w:val="left"/>
        <w:rPr>
          <w:rFonts w:ascii="宋体" w:eastAsia="宋体" w:cs="宋体"/>
          <w:kern w:val="0"/>
          <w:sz w:val="24"/>
          <w:szCs w:val="24"/>
        </w:rPr>
      </w:pPr>
      <w:r>
        <w:rPr>
          <w:rFonts w:hint="eastAsia" w:ascii="仿宋_GB2312" w:eastAsia="仿宋_GB2312" w:cs="仿宋_GB2312"/>
          <w:kern w:val="0"/>
          <w:sz w:val="32"/>
          <w:szCs w:val="32"/>
        </w:rPr>
        <w:t>5.对附属单位补助支出0.00万元。</w:t>
      </w:r>
    </w:p>
    <w:p w14:paraId="63AC6934">
      <w:pPr>
        <w:widowControl/>
        <w:shd w:val="clear" w:color="auto" w:fill="FFFFFF"/>
        <w:tabs>
          <w:tab w:val="left" w:pos="7513"/>
        </w:tabs>
        <w:adjustRightInd w:val="0"/>
        <w:snapToGrid w:val="0"/>
        <w:spacing w:before="100" w:beforeAutospacing="1" w:after="100" w:afterAutospacing="1" w:line="600" w:lineRule="exact"/>
        <w:ind w:left="237" w:leftChars="113" w:firstLine="480" w:firstLineChars="150"/>
        <w:contextualSpacing/>
        <w:jc w:val="left"/>
        <w:rPr>
          <w:rFonts w:ascii="宋体" w:eastAsia="宋体" w:cs="宋体"/>
          <w:kern w:val="0"/>
          <w:sz w:val="24"/>
          <w:szCs w:val="24"/>
        </w:rPr>
      </w:pPr>
      <w:r>
        <w:rPr>
          <w:rFonts w:hint="eastAsia" w:ascii="黑体" w:eastAsia="黑体" w:cs="宋体"/>
          <w:kern w:val="0"/>
          <w:sz w:val="32"/>
          <w:szCs w:val="32"/>
        </w:rPr>
        <w:t>五、一般公共预算拨款支出决算情况</w:t>
      </w:r>
    </w:p>
    <w:p w14:paraId="76C16EE8">
      <w:pPr>
        <w:widowControl/>
        <w:shd w:val="clear" w:color="auto" w:fill="FFFFFF"/>
        <w:snapToGrid w:val="0"/>
        <w:spacing w:before="100" w:beforeAutospacing="1" w:after="100" w:afterAutospacing="1" w:line="600" w:lineRule="exact"/>
        <w:ind w:firstLine="640" w:firstLineChars="200"/>
        <w:contextualSpacing/>
        <w:jc w:val="left"/>
        <w:rPr>
          <w:rFonts w:ascii="宋体" w:eastAsia="宋体" w:cs="宋体"/>
          <w:kern w:val="0"/>
          <w:sz w:val="24"/>
          <w:szCs w:val="24"/>
        </w:rPr>
      </w:pPr>
      <w:r>
        <w:rPr>
          <w:rFonts w:hint="eastAsia" w:ascii="仿宋_GB2312" w:eastAsia="仿宋_GB2312" w:cs="仿宋_GB2312"/>
          <w:kern w:val="0"/>
          <w:sz w:val="32"/>
          <w:szCs w:val="32"/>
        </w:rPr>
        <w:t>2017年</w:t>
      </w:r>
      <w:r>
        <w:rPr>
          <w:rFonts w:hint="eastAsia" w:ascii="仿宋_GB2312" w:eastAsia="仿宋_GB2312" w:cs="宋体"/>
          <w:kern w:val="0"/>
          <w:sz w:val="32"/>
          <w:szCs w:val="32"/>
        </w:rPr>
        <w:t>一般公共预算拨款支出</w:t>
      </w:r>
      <w:r>
        <w:rPr>
          <w:rFonts w:hint="eastAsia" w:ascii="仿宋_GB2312" w:eastAsia="仿宋_GB2312" w:cs="仿宋_GB2312"/>
          <w:kern w:val="0"/>
          <w:sz w:val="32"/>
          <w:szCs w:val="32"/>
        </w:rPr>
        <w:t>12,333.11</w:t>
      </w:r>
      <w:r>
        <w:rPr>
          <w:rFonts w:hint="eastAsia" w:ascii="仿宋_GB2312" w:eastAsia="仿宋_GB2312" w:cs="宋体"/>
          <w:kern w:val="0"/>
          <w:sz w:val="32"/>
          <w:szCs w:val="32"/>
        </w:rPr>
        <w:t>万元，比2016年决算数增加</w:t>
      </w:r>
      <w:r>
        <w:rPr>
          <w:rFonts w:hint="eastAsia" w:ascii="仿宋_GB2312" w:eastAsia="仿宋_GB2312" w:cs="仿宋_GB2312"/>
          <w:kern w:val="0"/>
          <w:sz w:val="32"/>
          <w:szCs w:val="32"/>
        </w:rPr>
        <w:t>4,281.62</w:t>
      </w:r>
      <w:r>
        <w:rPr>
          <w:rFonts w:hint="eastAsia" w:ascii="仿宋_GB2312" w:eastAsia="仿宋_GB2312" w:cs="宋体"/>
          <w:kern w:val="0"/>
          <w:sz w:val="32"/>
          <w:szCs w:val="32"/>
        </w:rPr>
        <w:t>万元，增长</w:t>
      </w:r>
      <w:r>
        <w:rPr>
          <w:rFonts w:hint="eastAsia" w:ascii="仿宋_GB2312" w:eastAsia="仿宋_GB2312" w:cs="仿宋_GB2312"/>
          <w:kern w:val="0"/>
          <w:sz w:val="32"/>
          <w:szCs w:val="32"/>
        </w:rPr>
        <w:t>53.18</w:t>
      </w:r>
      <w:r>
        <w:rPr>
          <w:rFonts w:hint="eastAsia" w:ascii="仿宋_GB2312" w:eastAsia="仿宋_GB2312" w:cs="宋体"/>
          <w:kern w:val="0"/>
          <w:sz w:val="32"/>
          <w:szCs w:val="32"/>
        </w:rPr>
        <w:t xml:space="preserve">%，具体情况如下： </w:t>
      </w:r>
    </w:p>
    <w:p w14:paraId="639037F2">
      <w:pPr>
        <w:widowControl/>
        <w:shd w:val="clear" w:color="auto" w:fill="FFFFFF"/>
        <w:snapToGrid w:val="0"/>
        <w:spacing w:before="100" w:beforeAutospacing="1" w:after="100" w:afterAutospacing="1" w:line="600" w:lineRule="exact"/>
        <w:ind w:firstLine="640" w:firstLineChars="200"/>
        <w:contextualSpacing/>
        <w:jc w:val="left"/>
        <w:rPr>
          <w:rFonts w:ascii="仿宋_GB2312" w:eastAsia="仿宋_GB2312" w:cs="宋体"/>
          <w:kern w:val="0"/>
          <w:sz w:val="32"/>
          <w:szCs w:val="32"/>
        </w:rPr>
      </w:pPr>
      <w:r>
        <w:rPr>
          <w:rFonts w:hint="eastAsia" w:ascii="仿宋_GB2312" w:eastAsia="仿宋_GB2312" w:cs="宋体"/>
          <w:kern w:val="0"/>
          <w:sz w:val="32"/>
          <w:szCs w:val="32"/>
        </w:rPr>
        <w:t>（一）</w:t>
      </w:r>
      <w:r>
        <w:rPr>
          <w:rFonts w:ascii="仿宋_GB2312" w:eastAsia="仿宋_GB2312" w:cs="宋体"/>
          <w:kern w:val="0"/>
          <w:sz w:val="32"/>
          <w:szCs w:val="32"/>
        </w:rPr>
        <w:t>2010499</w:t>
      </w:r>
      <w:r>
        <w:rPr>
          <w:rFonts w:hint="eastAsia" w:ascii="仿宋_GB2312" w:eastAsia="仿宋_GB2312" w:cs="宋体"/>
          <w:kern w:val="0"/>
          <w:sz w:val="32"/>
          <w:szCs w:val="32"/>
        </w:rPr>
        <w:t>其他发展与改革事务支出</w:t>
      </w:r>
      <w:r>
        <w:rPr>
          <w:rFonts w:ascii="仿宋_GB2312" w:eastAsia="仿宋_GB2312" w:cs="宋体"/>
          <w:kern w:val="0"/>
          <w:sz w:val="32"/>
          <w:szCs w:val="32"/>
        </w:rPr>
        <w:t>134.87</w:t>
      </w:r>
      <w:r>
        <w:rPr>
          <w:rFonts w:hint="eastAsia" w:ascii="仿宋_GB2312" w:eastAsia="仿宋_GB2312" w:cs="宋体"/>
          <w:kern w:val="0"/>
          <w:sz w:val="32"/>
          <w:szCs w:val="32"/>
        </w:rPr>
        <w:t>万元，较上年决算数增加30.06万元，增长28.68%。主要原因是当年预算安排的项目资金较上年度有所增加。</w:t>
      </w:r>
    </w:p>
    <w:p w14:paraId="0E8FE14D">
      <w:pPr>
        <w:widowControl/>
        <w:shd w:val="clear" w:color="auto" w:fill="FFFFFF"/>
        <w:snapToGrid w:val="0"/>
        <w:spacing w:before="100" w:beforeAutospacing="1" w:after="100" w:afterAutospacing="1" w:line="600" w:lineRule="exact"/>
        <w:ind w:firstLine="640" w:firstLineChars="200"/>
        <w:contextualSpacing/>
        <w:jc w:val="left"/>
        <w:rPr>
          <w:rFonts w:ascii="宋体" w:eastAsia="宋体" w:cs="宋体"/>
          <w:kern w:val="0"/>
          <w:sz w:val="24"/>
          <w:szCs w:val="24"/>
        </w:rPr>
      </w:pPr>
      <w:r>
        <w:rPr>
          <w:rFonts w:hint="eastAsia" w:ascii="仿宋_GB2312" w:eastAsia="仿宋_GB2312" w:cs="宋体"/>
          <w:kern w:val="0"/>
          <w:sz w:val="32"/>
          <w:szCs w:val="32"/>
        </w:rPr>
        <w:t>（二）</w:t>
      </w:r>
      <w:r>
        <w:rPr>
          <w:rFonts w:ascii="仿宋_GB2312" w:eastAsia="仿宋_GB2312" w:cs="宋体"/>
          <w:kern w:val="0"/>
          <w:sz w:val="32"/>
          <w:szCs w:val="32"/>
        </w:rPr>
        <w:t>2060599</w:t>
      </w:r>
      <w:r>
        <w:rPr>
          <w:rFonts w:hint="eastAsia" w:ascii="仿宋_GB2312" w:eastAsia="仿宋_GB2312" w:cs="宋体"/>
          <w:kern w:val="0"/>
          <w:sz w:val="32"/>
          <w:szCs w:val="32"/>
        </w:rPr>
        <w:t>其他科技条件与服务支出</w:t>
      </w:r>
      <w:r>
        <w:rPr>
          <w:rFonts w:ascii="仿宋_GB2312" w:eastAsia="仿宋_GB2312" w:cs="宋体"/>
          <w:kern w:val="0"/>
          <w:sz w:val="32"/>
          <w:szCs w:val="32"/>
        </w:rPr>
        <w:t>23.6</w:t>
      </w:r>
      <w:r>
        <w:rPr>
          <w:rFonts w:hint="eastAsia" w:ascii="仿宋_GB2312" w:eastAsia="仿宋_GB2312" w:cs="宋体"/>
          <w:kern w:val="0"/>
          <w:sz w:val="32"/>
          <w:szCs w:val="32"/>
        </w:rPr>
        <w:t>0万元，较上年决算数增加23.60万元。主要原因是增加新的项目资金。</w:t>
      </w:r>
    </w:p>
    <w:p w14:paraId="6DA4FE8E">
      <w:pPr>
        <w:widowControl/>
        <w:shd w:val="clear" w:color="auto" w:fill="FFFFFF"/>
        <w:snapToGrid w:val="0"/>
        <w:spacing w:before="100" w:beforeAutospacing="1" w:after="100" w:afterAutospacing="1" w:line="600" w:lineRule="exact"/>
        <w:ind w:firstLine="640" w:firstLineChars="200"/>
        <w:contextualSpacing/>
        <w:jc w:val="left"/>
        <w:rPr>
          <w:rFonts w:ascii="仿宋_GB2312" w:eastAsia="仿宋_GB2312" w:cs="宋体"/>
          <w:kern w:val="0"/>
          <w:sz w:val="32"/>
          <w:szCs w:val="32"/>
        </w:rPr>
      </w:pPr>
      <w:r>
        <w:rPr>
          <w:rFonts w:hint="eastAsia" w:ascii="仿宋_GB2312" w:eastAsia="仿宋_GB2312" w:cs="宋体"/>
          <w:kern w:val="0"/>
          <w:sz w:val="32"/>
          <w:szCs w:val="32"/>
        </w:rPr>
        <w:t>（三）</w:t>
      </w:r>
      <w:r>
        <w:rPr>
          <w:rFonts w:ascii="仿宋_GB2312" w:eastAsia="仿宋_GB2312" w:cs="宋体"/>
          <w:kern w:val="0"/>
          <w:sz w:val="32"/>
          <w:szCs w:val="32"/>
        </w:rPr>
        <w:t>2080505</w:t>
      </w:r>
      <w:r>
        <w:rPr>
          <w:rFonts w:hint="eastAsia" w:ascii="仿宋_GB2312" w:eastAsia="仿宋_GB2312" w:cs="宋体"/>
          <w:kern w:val="0"/>
          <w:sz w:val="32"/>
          <w:szCs w:val="32"/>
        </w:rPr>
        <w:t>机关事业单位基本养老保险缴费支出</w:t>
      </w:r>
      <w:r>
        <w:rPr>
          <w:rFonts w:ascii="仿宋_GB2312" w:eastAsia="仿宋_GB2312" w:cs="宋体"/>
          <w:kern w:val="0"/>
          <w:sz w:val="32"/>
          <w:szCs w:val="32"/>
        </w:rPr>
        <w:t>41.8</w:t>
      </w:r>
      <w:r>
        <w:rPr>
          <w:rFonts w:hint="eastAsia" w:ascii="仿宋_GB2312" w:eastAsia="仿宋_GB2312" w:cs="宋体"/>
          <w:kern w:val="0"/>
          <w:sz w:val="32"/>
          <w:szCs w:val="32"/>
        </w:rPr>
        <w:t>万元，较上年决算数减少32.65万元，下降43.85%。主要原因是上年有补缴养老保险。</w:t>
      </w:r>
    </w:p>
    <w:p w14:paraId="53CBBC03">
      <w:pPr>
        <w:widowControl/>
        <w:shd w:val="clear" w:color="auto" w:fill="FFFFFF"/>
        <w:snapToGrid w:val="0"/>
        <w:spacing w:before="100" w:beforeAutospacing="1" w:after="100" w:afterAutospacing="1" w:line="600" w:lineRule="exact"/>
        <w:ind w:firstLine="640" w:firstLineChars="200"/>
        <w:contextualSpacing/>
        <w:jc w:val="left"/>
        <w:rPr>
          <w:rFonts w:ascii="仿宋_GB2312" w:eastAsia="仿宋_GB2312" w:cs="宋体"/>
          <w:kern w:val="0"/>
          <w:sz w:val="32"/>
          <w:szCs w:val="32"/>
        </w:rPr>
      </w:pPr>
      <w:r>
        <w:rPr>
          <w:rFonts w:hint="eastAsia" w:ascii="仿宋_GB2312" w:eastAsia="仿宋_GB2312" w:cs="宋体"/>
          <w:kern w:val="0"/>
          <w:sz w:val="32"/>
          <w:szCs w:val="32"/>
        </w:rPr>
        <w:t>（四）</w:t>
      </w:r>
      <w:r>
        <w:rPr>
          <w:rFonts w:ascii="仿宋_GB2312" w:eastAsia="仿宋_GB2312" w:cs="宋体"/>
          <w:kern w:val="0"/>
          <w:sz w:val="32"/>
          <w:szCs w:val="32"/>
        </w:rPr>
        <w:t>2101101</w:t>
      </w:r>
      <w:r>
        <w:rPr>
          <w:rFonts w:hint="eastAsia" w:ascii="仿宋_GB2312" w:eastAsia="仿宋_GB2312" w:cs="宋体"/>
          <w:kern w:val="0"/>
          <w:sz w:val="32"/>
          <w:szCs w:val="32"/>
        </w:rPr>
        <w:t>行政单位医疗</w:t>
      </w:r>
      <w:r>
        <w:rPr>
          <w:rFonts w:ascii="仿宋_GB2312" w:eastAsia="仿宋_GB2312" w:cs="宋体"/>
          <w:kern w:val="0"/>
          <w:sz w:val="32"/>
          <w:szCs w:val="32"/>
        </w:rPr>
        <w:t>12.23</w:t>
      </w:r>
      <w:r>
        <w:rPr>
          <w:rFonts w:hint="eastAsia" w:ascii="仿宋_GB2312" w:eastAsia="仿宋_GB2312" w:cs="宋体"/>
          <w:kern w:val="0"/>
          <w:sz w:val="32"/>
          <w:szCs w:val="32"/>
        </w:rPr>
        <w:t>万元，较上年决算数减少0.57万元，下降4.45%。主要原因是人员和基数变动。</w:t>
      </w:r>
    </w:p>
    <w:p w14:paraId="37E1458A">
      <w:pPr>
        <w:widowControl/>
        <w:shd w:val="clear" w:color="auto" w:fill="FFFFFF"/>
        <w:snapToGrid w:val="0"/>
        <w:spacing w:before="100" w:beforeAutospacing="1" w:after="100" w:afterAutospacing="1" w:line="600" w:lineRule="exact"/>
        <w:ind w:firstLine="640" w:firstLineChars="200"/>
        <w:contextualSpacing/>
        <w:jc w:val="left"/>
        <w:rPr>
          <w:rFonts w:ascii="仿宋_GB2312" w:eastAsia="仿宋_GB2312" w:cs="宋体"/>
          <w:kern w:val="0"/>
          <w:sz w:val="32"/>
          <w:szCs w:val="32"/>
        </w:rPr>
      </w:pPr>
      <w:r>
        <w:rPr>
          <w:rFonts w:hint="eastAsia" w:ascii="仿宋_GB2312" w:eastAsia="仿宋_GB2312" w:cs="宋体"/>
          <w:kern w:val="0"/>
          <w:sz w:val="32"/>
          <w:szCs w:val="32"/>
        </w:rPr>
        <w:t>（五）</w:t>
      </w:r>
      <w:r>
        <w:rPr>
          <w:rFonts w:ascii="仿宋_GB2312" w:eastAsia="仿宋_GB2312" w:cs="宋体"/>
          <w:kern w:val="0"/>
          <w:sz w:val="32"/>
          <w:szCs w:val="32"/>
        </w:rPr>
        <w:t>2101103</w:t>
      </w:r>
      <w:r>
        <w:rPr>
          <w:rFonts w:hint="eastAsia" w:ascii="仿宋_GB2312" w:eastAsia="仿宋_GB2312" w:cs="宋体"/>
          <w:kern w:val="0"/>
          <w:sz w:val="32"/>
          <w:szCs w:val="32"/>
        </w:rPr>
        <w:t>公务员医疗补助</w:t>
      </w:r>
      <w:r>
        <w:rPr>
          <w:rFonts w:ascii="仿宋_GB2312" w:eastAsia="仿宋_GB2312" w:cs="宋体"/>
          <w:kern w:val="0"/>
          <w:sz w:val="32"/>
          <w:szCs w:val="32"/>
        </w:rPr>
        <w:t>5.47</w:t>
      </w:r>
      <w:r>
        <w:rPr>
          <w:rFonts w:hint="eastAsia" w:ascii="仿宋_GB2312" w:eastAsia="仿宋_GB2312" w:cs="宋体"/>
          <w:kern w:val="0"/>
          <w:sz w:val="32"/>
          <w:szCs w:val="32"/>
        </w:rPr>
        <w:t>万元，较上年决算数增加2.22万元，增长68.31%。主要原因是2017年在编人员较上年多。</w:t>
      </w:r>
    </w:p>
    <w:p w14:paraId="3D191C2D">
      <w:pPr>
        <w:widowControl/>
        <w:shd w:val="clear" w:color="auto" w:fill="FFFFFF"/>
        <w:snapToGrid w:val="0"/>
        <w:spacing w:before="100" w:beforeAutospacing="1" w:after="100" w:afterAutospacing="1" w:line="600" w:lineRule="exact"/>
        <w:ind w:firstLine="640" w:firstLineChars="200"/>
        <w:contextualSpacing/>
        <w:jc w:val="left"/>
        <w:rPr>
          <w:rFonts w:ascii="宋体" w:eastAsia="宋体" w:cs="宋体"/>
          <w:kern w:val="0"/>
          <w:sz w:val="24"/>
          <w:szCs w:val="24"/>
        </w:rPr>
      </w:pPr>
      <w:r>
        <w:rPr>
          <w:rFonts w:hint="eastAsia" w:ascii="仿宋_GB2312" w:eastAsia="仿宋_GB2312" w:cs="宋体"/>
          <w:kern w:val="0"/>
          <w:sz w:val="32"/>
          <w:szCs w:val="32"/>
        </w:rPr>
        <w:t>（六）</w:t>
      </w:r>
      <w:r>
        <w:rPr>
          <w:rFonts w:ascii="仿宋_GB2312" w:eastAsia="仿宋_GB2312" w:cs="宋体"/>
          <w:kern w:val="0"/>
          <w:sz w:val="32"/>
          <w:szCs w:val="32"/>
        </w:rPr>
        <w:t>2150805</w:t>
      </w:r>
      <w:r>
        <w:rPr>
          <w:rFonts w:hint="eastAsia" w:ascii="仿宋_GB2312" w:eastAsia="仿宋_GB2312" w:cs="宋体"/>
          <w:kern w:val="0"/>
          <w:sz w:val="32"/>
          <w:szCs w:val="32"/>
        </w:rPr>
        <w:t>中小企业发展专项</w:t>
      </w:r>
      <w:r>
        <w:rPr>
          <w:rFonts w:ascii="仿宋_GB2312" w:eastAsia="仿宋_GB2312" w:cs="宋体"/>
          <w:kern w:val="0"/>
          <w:sz w:val="32"/>
          <w:szCs w:val="32"/>
        </w:rPr>
        <w:t>1499.45</w:t>
      </w:r>
      <w:r>
        <w:rPr>
          <w:rFonts w:hint="eastAsia" w:ascii="仿宋_GB2312" w:eastAsia="仿宋_GB2312" w:cs="宋体"/>
          <w:kern w:val="0"/>
          <w:sz w:val="32"/>
          <w:szCs w:val="32"/>
        </w:rPr>
        <w:t>万元，较上年决算数增加</w:t>
      </w:r>
      <w:r>
        <w:rPr>
          <w:rFonts w:ascii="仿宋_GB2312" w:eastAsia="仿宋_GB2312" w:cs="宋体"/>
          <w:kern w:val="0"/>
          <w:sz w:val="32"/>
          <w:szCs w:val="32"/>
        </w:rPr>
        <w:t>1499.45</w:t>
      </w:r>
      <w:r>
        <w:rPr>
          <w:rFonts w:hint="eastAsia" w:ascii="仿宋_GB2312" w:eastAsia="仿宋_GB2312" w:cs="宋体"/>
          <w:kern w:val="0"/>
          <w:sz w:val="32"/>
          <w:szCs w:val="32"/>
        </w:rPr>
        <w:t>万元。主要原因是由于对地方金融机构奖励职责的重新划分，增加新的项目资金。</w:t>
      </w:r>
    </w:p>
    <w:p w14:paraId="0D46C93F">
      <w:pPr>
        <w:widowControl/>
        <w:shd w:val="clear" w:color="auto" w:fill="FFFFFF"/>
        <w:snapToGrid w:val="0"/>
        <w:spacing w:before="100" w:beforeAutospacing="1" w:after="100" w:afterAutospacing="1" w:line="600" w:lineRule="exact"/>
        <w:ind w:firstLine="640" w:firstLineChars="200"/>
        <w:contextualSpacing/>
        <w:jc w:val="left"/>
        <w:rPr>
          <w:rFonts w:ascii="仿宋_GB2312" w:eastAsia="仿宋_GB2312" w:cs="宋体"/>
          <w:color w:val="FF0000"/>
          <w:kern w:val="0"/>
          <w:sz w:val="32"/>
          <w:szCs w:val="32"/>
        </w:rPr>
      </w:pPr>
      <w:r>
        <w:rPr>
          <w:rFonts w:hint="eastAsia" w:ascii="仿宋_GB2312" w:eastAsia="仿宋_GB2312" w:cs="宋体"/>
          <w:kern w:val="0"/>
          <w:sz w:val="32"/>
          <w:szCs w:val="32"/>
        </w:rPr>
        <w:t>（七）</w:t>
      </w:r>
      <w:r>
        <w:rPr>
          <w:rFonts w:ascii="仿宋_GB2312" w:eastAsia="仿宋_GB2312" w:cs="宋体"/>
          <w:kern w:val="0"/>
          <w:sz w:val="32"/>
          <w:szCs w:val="32"/>
        </w:rPr>
        <w:t>2170101</w:t>
      </w:r>
      <w:r>
        <w:rPr>
          <w:rFonts w:hint="eastAsia" w:ascii="仿宋_GB2312" w:eastAsia="仿宋_GB2312" w:cs="宋体"/>
          <w:kern w:val="0"/>
          <w:sz w:val="32"/>
          <w:szCs w:val="32"/>
        </w:rPr>
        <w:t>行政运行</w:t>
      </w:r>
      <w:r>
        <w:rPr>
          <w:rFonts w:ascii="仿宋_GB2312" w:eastAsia="仿宋_GB2312" w:cs="宋体"/>
          <w:kern w:val="0"/>
          <w:sz w:val="32"/>
          <w:szCs w:val="32"/>
        </w:rPr>
        <w:t>307.39</w:t>
      </w:r>
      <w:r>
        <w:rPr>
          <w:rFonts w:hint="eastAsia" w:ascii="仿宋_GB2312" w:eastAsia="仿宋_GB2312" w:cs="宋体"/>
          <w:kern w:val="0"/>
          <w:sz w:val="32"/>
          <w:szCs w:val="32"/>
        </w:rPr>
        <w:t>万元，较上年决算数增加307.39万元。因2016年部门预算错将行政运行支出并入一般行政管理事务科目，导致2016年决算中没有行政运行支出。</w:t>
      </w:r>
    </w:p>
    <w:p w14:paraId="08F98407">
      <w:pPr>
        <w:widowControl/>
        <w:shd w:val="clear" w:color="auto" w:fill="FFFFFF"/>
        <w:snapToGrid w:val="0"/>
        <w:spacing w:before="100" w:beforeAutospacing="1" w:after="100" w:afterAutospacing="1" w:line="600" w:lineRule="exact"/>
        <w:ind w:firstLine="640" w:firstLineChars="200"/>
        <w:contextualSpacing/>
        <w:jc w:val="left"/>
        <w:rPr>
          <w:rFonts w:ascii="仿宋_GB2312" w:eastAsia="仿宋_GB2312" w:cs="宋体"/>
          <w:color w:val="FF0000"/>
          <w:kern w:val="0"/>
          <w:sz w:val="32"/>
          <w:szCs w:val="32"/>
        </w:rPr>
      </w:pPr>
      <w:r>
        <w:rPr>
          <w:rFonts w:hint="eastAsia" w:ascii="仿宋_GB2312" w:eastAsia="仿宋_GB2312" w:cs="宋体"/>
          <w:kern w:val="0"/>
          <w:sz w:val="32"/>
          <w:szCs w:val="32"/>
        </w:rPr>
        <w:t>（八）</w:t>
      </w:r>
      <w:r>
        <w:rPr>
          <w:rFonts w:ascii="仿宋_GB2312" w:eastAsia="仿宋_GB2312" w:cs="宋体"/>
          <w:kern w:val="0"/>
          <w:sz w:val="32"/>
          <w:szCs w:val="32"/>
        </w:rPr>
        <w:t>2170102</w:t>
      </w:r>
      <w:r>
        <w:rPr>
          <w:rFonts w:hint="eastAsia" w:ascii="仿宋_GB2312" w:eastAsia="仿宋_GB2312" w:cs="宋体"/>
          <w:kern w:val="0"/>
          <w:sz w:val="32"/>
          <w:szCs w:val="32"/>
        </w:rPr>
        <w:t>一般行政管理事务</w:t>
      </w:r>
      <w:r>
        <w:rPr>
          <w:rFonts w:ascii="仿宋_GB2312" w:eastAsia="仿宋_GB2312" w:cs="宋体"/>
          <w:kern w:val="0"/>
          <w:sz w:val="32"/>
          <w:szCs w:val="32"/>
        </w:rPr>
        <w:t>379.19</w:t>
      </w:r>
      <w:r>
        <w:rPr>
          <w:rFonts w:hint="eastAsia" w:ascii="仿宋_GB2312" w:eastAsia="仿宋_GB2312" w:cs="宋体"/>
          <w:kern w:val="0"/>
          <w:sz w:val="32"/>
          <w:szCs w:val="32"/>
        </w:rPr>
        <w:t xml:space="preserve">万元，较上年决算数减少140.28万元，下降27.00%。因2016年部门预算错将行政运行支出并入一般行政管理事务科目，导致2016年一般行政管理事务支出数据包含有行政运行支出，因此2016年一般行政管理事务支出数据高于2017年。 </w:t>
      </w:r>
    </w:p>
    <w:p w14:paraId="5E4B24A9">
      <w:pPr>
        <w:widowControl/>
        <w:shd w:val="clear" w:color="auto" w:fill="FFFFFF"/>
        <w:snapToGrid w:val="0"/>
        <w:spacing w:before="100" w:beforeAutospacing="1" w:after="100" w:afterAutospacing="1" w:line="600" w:lineRule="exact"/>
        <w:ind w:firstLine="640" w:firstLineChars="200"/>
        <w:contextualSpacing/>
        <w:jc w:val="left"/>
        <w:rPr>
          <w:rFonts w:ascii="仿宋_GB2312" w:eastAsia="仿宋_GB2312" w:cs="宋体"/>
          <w:kern w:val="0"/>
          <w:sz w:val="32"/>
          <w:szCs w:val="32"/>
        </w:rPr>
      </w:pPr>
      <w:r>
        <w:rPr>
          <w:rFonts w:hint="eastAsia" w:ascii="仿宋_GB2312" w:eastAsia="仿宋_GB2312" w:cs="宋体"/>
          <w:kern w:val="0"/>
          <w:sz w:val="32"/>
          <w:szCs w:val="32"/>
        </w:rPr>
        <w:t>（九）</w:t>
      </w:r>
      <w:r>
        <w:rPr>
          <w:rFonts w:ascii="仿宋_GB2312" w:eastAsia="仿宋_GB2312" w:cs="宋体"/>
          <w:kern w:val="0"/>
          <w:sz w:val="32"/>
          <w:szCs w:val="32"/>
        </w:rPr>
        <w:t>2170199</w:t>
      </w:r>
      <w:r>
        <w:rPr>
          <w:rFonts w:hint="eastAsia" w:ascii="仿宋_GB2312" w:eastAsia="仿宋_GB2312" w:cs="宋体"/>
          <w:kern w:val="0"/>
          <w:sz w:val="32"/>
          <w:szCs w:val="32"/>
        </w:rPr>
        <w:t>金融部门其他行政支出</w:t>
      </w:r>
      <w:r>
        <w:rPr>
          <w:rFonts w:ascii="仿宋_GB2312" w:eastAsia="仿宋_GB2312" w:cs="宋体"/>
          <w:kern w:val="0"/>
          <w:sz w:val="32"/>
          <w:szCs w:val="32"/>
        </w:rPr>
        <w:t>249.88</w:t>
      </w:r>
      <w:r>
        <w:rPr>
          <w:rFonts w:hint="eastAsia" w:ascii="仿宋_GB2312" w:eastAsia="仿宋_GB2312" w:cs="宋体"/>
          <w:kern w:val="0"/>
          <w:sz w:val="32"/>
          <w:szCs w:val="32"/>
        </w:rPr>
        <w:t>万元，较上年决算数增加37.75万元，增长17.80%。主要原因是当年预算安排的项目资金较上年度有所增加。</w:t>
      </w:r>
    </w:p>
    <w:p w14:paraId="7B3FBD3C">
      <w:pPr>
        <w:widowControl/>
        <w:shd w:val="clear" w:color="auto" w:fill="FFFFFF"/>
        <w:snapToGrid w:val="0"/>
        <w:spacing w:before="100" w:beforeAutospacing="1" w:after="100" w:afterAutospacing="1" w:line="600" w:lineRule="exact"/>
        <w:ind w:firstLine="640" w:firstLineChars="200"/>
        <w:contextualSpacing/>
        <w:jc w:val="left"/>
        <w:rPr>
          <w:rFonts w:ascii="仿宋_GB2312" w:eastAsia="仿宋_GB2312" w:cs="宋体"/>
          <w:kern w:val="0"/>
          <w:sz w:val="32"/>
          <w:szCs w:val="32"/>
        </w:rPr>
      </w:pPr>
      <w:r>
        <w:rPr>
          <w:rFonts w:hint="eastAsia" w:ascii="仿宋_GB2312" w:eastAsia="仿宋_GB2312" w:cs="宋体"/>
          <w:kern w:val="0"/>
          <w:sz w:val="32"/>
          <w:szCs w:val="32"/>
        </w:rPr>
        <w:t>（十）</w:t>
      </w:r>
      <w:r>
        <w:rPr>
          <w:rFonts w:ascii="仿宋_GB2312" w:eastAsia="仿宋_GB2312" w:cs="宋体"/>
          <w:kern w:val="0"/>
          <w:sz w:val="32"/>
          <w:szCs w:val="32"/>
        </w:rPr>
        <w:t>2170399</w:t>
      </w:r>
      <w:r>
        <w:rPr>
          <w:rFonts w:hint="eastAsia" w:ascii="仿宋_GB2312" w:eastAsia="仿宋_GB2312" w:cs="宋体"/>
          <w:kern w:val="0"/>
          <w:sz w:val="32"/>
          <w:szCs w:val="32"/>
        </w:rPr>
        <w:t>其他金融发展支出</w:t>
      </w:r>
      <w:r>
        <w:rPr>
          <w:rFonts w:ascii="仿宋_GB2312" w:eastAsia="仿宋_GB2312" w:cs="宋体"/>
          <w:kern w:val="0"/>
          <w:sz w:val="32"/>
          <w:szCs w:val="32"/>
        </w:rPr>
        <w:t>9679.23</w:t>
      </w:r>
      <w:r>
        <w:rPr>
          <w:rFonts w:hint="eastAsia" w:ascii="仿宋_GB2312" w:eastAsia="仿宋_GB2312" w:cs="宋体"/>
          <w:kern w:val="0"/>
          <w:sz w:val="32"/>
          <w:szCs w:val="32"/>
        </w:rPr>
        <w:t>万元，较上年决算数增加2554.66万元，增长35.86%。主要原因是当年预算安排的项目资金较上年度有所增加。</w:t>
      </w:r>
    </w:p>
    <w:p w14:paraId="2018C287">
      <w:pPr>
        <w:widowControl/>
        <w:shd w:val="clear" w:color="auto" w:fill="FFFFFF"/>
        <w:tabs>
          <w:tab w:val="left" w:pos="7513"/>
        </w:tabs>
        <w:adjustRightInd w:val="0"/>
        <w:snapToGrid w:val="0"/>
        <w:spacing w:before="100" w:beforeAutospacing="1" w:after="100" w:afterAutospacing="1" w:line="600" w:lineRule="exact"/>
        <w:ind w:firstLine="640" w:firstLineChars="200"/>
        <w:contextualSpacing/>
        <w:jc w:val="left"/>
        <w:rPr>
          <w:rFonts w:ascii="宋体" w:eastAsia="宋体" w:cs="宋体"/>
          <w:kern w:val="0"/>
          <w:sz w:val="24"/>
          <w:szCs w:val="24"/>
        </w:rPr>
      </w:pPr>
      <w:r>
        <w:rPr>
          <w:rFonts w:hint="eastAsia" w:ascii="黑体" w:eastAsia="黑体" w:cs="仿宋_GB2312"/>
          <w:bCs/>
          <w:kern w:val="0"/>
          <w:sz w:val="32"/>
          <w:szCs w:val="32"/>
        </w:rPr>
        <w:t>六、政府性基金支出决算情况</w:t>
      </w:r>
    </w:p>
    <w:p w14:paraId="32965EBE">
      <w:pPr>
        <w:widowControl/>
        <w:shd w:val="clear" w:color="auto" w:fill="FFFFFF"/>
        <w:tabs>
          <w:tab w:val="left" w:pos="7513"/>
        </w:tabs>
        <w:adjustRightInd w:val="0"/>
        <w:snapToGrid w:val="0"/>
        <w:spacing w:before="100" w:beforeAutospacing="1" w:after="100" w:afterAutospacing="1" w:line="600" w:lineRule="exact"/>
        <w:ind w:firstLine="704" w:firstLineChars="220"/>
        <w:contextualSpacing/>
        <w:jc w:val="left"/>
        <w:rPr>
          <w:rFonts w:ascii="宋体" w:eastAsia="宋体" w:cs="宋体"/>
          <w:kern w:val="0"/>
          <w:sz w:val="24"/>
          <w:szCs w:val="24"/>
        </w:rPr>
      </w:pPr>
      <w:r>
        <w:rPr>
          <w:rFonts w:hint="eastAsia" w:ascii="仿宋_GB2312" w:eastAsia="仿宋_GB2312" w:cs="仿宋_GB2312"/>
          <w:kern w:val="0"/>
          <w:sz w:val="32"/>
          <w:szCs w:val="32"/>
        </w:rPr>
        <w:t>本单位2017年度无政府性基金支出。</w:t>
      </w:r>
    </w:p>
    <w:p w14:paraId="67402D64">
      <w:pPr>
        <w:widowControl/>
        <w:shd w:val="clear" w:color="auto" w:fill="FFFFFF"/>
        <w:tabs>
          <w:tab w:val="left" w:pos="7513"/>
        </w:tabs>
        <w:adjustRightInd w:val="0"/>
        <w:snapToGrid w:val="0"/>
        <w:spacing w:before="100" w:beforeAutospacing="1" w:after="100" w:afterAutospacing="1" w:line="600" w:lineRule="exact"/>
        <w:ind w:firstLine="640" w:firstLineChars="200"/>
        <w:contextualSpacing/>
        <w:jc w:val="left"/>
        <w:rPr>
          <w:rFonts w:ascii="宋体" w:eastAsia="宋体" w:cs="宋体"/>
          <w:kern w:val="0"/>
          <w:sz w:val="24"/>
          <w:szCs w:val="24"/>
        </w:rPr>
      </w:pPr>
      <w:r>
        <w:rPr>
          <w:rFonts w:hint="eastAsia" w:ascii="黑体" w:eastAsia="黑体" w:cs="仿宋_GB2312"/>
          <w:bCs/>
          <w:kern w:val="0"/>
          <w:sz w:val="32"/>
          <w:szCs w:val="32"/>
        </w:rPr>
        <w:t>七、“三公”经费公共财政拨款支出决算情况</w:t>
      </w:r>
    </w:p>
    <w:p w14:paraId="62A0CA08">
      <w:pPr>
        <w:widowControl/>
        <w:shd w:val="clear" w:color="auto" w:fill="FFFFFF"/>
        <w:tabs>
          <w:tab w:val="left" w:pos="7513"/>
        </w:tabs>
        <w:adjustRightInd w:val="0"/>
        <w:snapToGrid w:val="0"/>
        <w:spacing w:before="100" w:beforeAutospacing="1" w:after="100" w:afterAutospacing="1" w:line="600" w:lineRule="exact"/>
        <w:ind w:firstLine="640" w:firstLineChars="200"/>
        <w:contextualSpacing/>
        <w:jc w:val="left"/>
        <w:rPr>
          <w:rFonts w:ascii="仿宋_GB2312" w:eastAsia="仿宋_GB2312" w:cs="仿宋_GB2312"/>
          <w:kern w:val="0"/>
          <w:sz w:val="32"/>
          <w:szCs w:val="32"/>
        </w:rPr>
      </w:pPr>
      <w:r>
        <w:rPr>
          <w:rFonts w:hint="eastAsia" w:ascii="仿宋_GB2312" w:eastAsia="仿宋_GB2312" w:cs="仿宋_GB2312"/>
          <w:kern w:val="0"/>
          <w:sz w:val="32"/>
          <w:szCs w:val="32"/>
        </w:rPr>
        <w:t>1.2017年“三公”经费公共财政拨款预算21.12万元，支出决算14.39万元，完成预算的68.13%，同比下降31.87%。主要原因是公务用车预算按照车编数编制，公务车实际到位较晚，因此实际开支较预算少。具体情况如下：</w:t>
      </w:r>
    </w:p>
    <w:p w14:paraId="169DFF75">
      <w:pPr>
        <w:widowControl/>
        <w:shd w:val="clear" w:color="auto" w:fill="FFFFFF"/>
        <w:tabs>
          <w:tab w:val="left" w:pos="7513"/>
        </w:tabs>
        <w:adjustRightInd w:val="0"/>
        <w:snapToGrid w:val="0"/>
        <w:spacing w:before="100" w:beforeAutospacing="1" w:after="100" w:afterAutospacing="1" w:line="600" w:lineRule="exact"/>
        <w:ind w:firstLine="640" w:firstLineChars="200"/>
        <w:contextualSpacing/>
        <w:jc w:val="left"/>
        <w:rPr>
          <w:rFonts w:ascii="宋体" w:eastAsia="宋体" w:cs="宋体"/>
          <w:kern w:val="0"/>
          <w:sz w:val="24"/>
          <w:szCs w:val="24"/>
        </w:rPr>
      </w:pPr>
      <w:r>
        <w:rPr>
          <w:rFonts w:hint="eastAsia" w:ascii="仿宋_GB2312" w:eastAsia="仿宋_GB2312" w:cs="仿宋_GB2312"/>
          <w:kern w:val="0"/>
          <w:sz w:val="32"/>
          <w:szCs w:val="32"/>
        </w:rPr>
        <w:t>（一）因公出国（境）费9.72万元，主要用于赴俄罗斯、土耳其开展金融产业链招商。2017年本单位组织出国团组1个，参加其他单位出国团组 0 个；全年因公出国（境）累计2人次。与2016年相比, 因公出国（境）经费支出减少2.02%，主要是按照国家厉行节约要求，尽量减少在国（境）外开支。</w:t>
      </w:r>
    </w:p>
    <w:p w14:paraId="2AC44B48">
      <w:pPr>
        <w:widowControl/>
        <w:shd w:val="clear" w:color="auto" w:fill="FFFFFF"/>
        <w:tabs>
          <w:tab w:val="left" w:pos="7513"/>
        </w:tabs>
        <w:adjustRightInd w:val="0"/>
        <w:snapToGrid w:val="0"/>
        <w:spacing w:before="100" w:beforeAutospacing="1" w:after="100" w:afterAutospacing="1" w:line="600" w:lineRule="exact"/>
        <w:ind w:firstLine="640" w:firstLineChars="200"/>
        <w:contextualSpacing/>
        <w:jc w:val="left"/>
        <w:rPr>
          <w:rFonts w:ascii="宋体" w:eastAsia="宋体" w:cs="宋体"/>
          <w:kern w:val="0"/>
          <w:sz w:val="24"/>
          <w:szCs w:val="24"/>
        </w:rPr>
      </w:pPr>
      <w:r>
        <w:rPr>
          <w:rFonts w:hint="eastAsia" w:ascii="仿宋_GB2312" w:eastAsia="仿宋_GB2312" w:cs="仿宋_GB2312"/>
          <w:kern w:val="0"/>
          <w:sz w:val="32"/>
          <w:szCs w:val="32"/>
        </w:rPr>
        <w:t>（二）公务用车购置及运行费3.75万元。其中：公务用车购置费0.00万元，2017年公务用车购置0辆。公务用车运行费3.75万元，主要用于公务用车燃油、维修、保险等方面支出，年末公务用车保有量2辆。与2016年相比，公务用车购置费一样，运行费增加3.75万元，主要是2016我办无公务车。</w:t>
      </w:r>
    </w:p>
    <w:p w14:paraId="08A01C8A">
      <w:pPr>
        <w:widowControl/>
        <w:shd w:val="clear" w:color="auto" w:fill="FFFFFF"/>
        <w:tabs>
          <w:tab w:val="left" w:pos="7513"/>
        </w:tabs>
        <w:adjustRightInd w:val="0"/>
        <w:snapToGrid w:val="0"/>
        <w:spacing w:before="100" w:beforeAutospacing="1" w:after="100" w:afterAutospacing="1" w:line="600" w:lineRule="exact"/>
        <w:ind w:firstLine="640" w:firstLineChars="200"/>
        <w:contextualSpacing/>
        <w:jc w:val="left"/>
        <w:rPr>
          <w:rFonts w:ascii="宋体" w:eastAsia="宋体" w:cs="宋体"/>
          <w:kern w:val="0"/>
          <w:sz w:val="24"/>
          <w:szCs w:val="24"/>
        </w:rPr>
      </w:pPr>
      <w:r>
        <w:rPr>
          <w:rFonts w:hint="eastAsia" w:ascii="仿宋_GB2312" w:eastAsia="仿宋_GB2312" w:cs="仿宋_GB2312"/>
          <w:kern w:val="0"/>
          <w:sz w:val="32"/>
          <w:szCs w:val="32"/>
        </w:rPr>
        <w:t>（三）公务接待费0.91万元。主要用于</w:t>
      </w:r>
      <w:r>
        <w:rPr>
          <w:rFonts w:hint="eastAsia" w:ascii="仿宋_GB2312" w:eastAsia="仿宋_GB2312" w:cs="仿宋_GB2312"/>
          <w:color w:val="000000"/>
          <w:kern w:val="0"/>
          <w:sz w:val="32"/>
          <w:szCs w:val="32"/>
        </w:rPr>
        <w:t>招商及其他地市金融办（局）业务经验交流等方面的接待活动，</w:t>
      </w:r>
      <w:r>
        <w:rPr>
          <w:rFonts w:hint="eastAsia" w:ascii="仿宋_GB2312" w:eastAsia="仿宋_GB2312" w:cs="仿宋_GB2312"/>
          <w:kern w:val="0"/>
          <w:sz w:val="32"/>
          <w:szCs w:val="32"/>
        </w:rPr>
        <w:t>累计接待7批次、接待总人数87。与2016年相比,公务接待费支出减少4.21%，主要是按照国家厉行节约要求，尽量压减公务接待次数及每笔接待支出。</w:t>
      </w:r>
    </w:p>
    <w:p w14:paraId="67090AE8">
      <w:pPr>
        <w:widowControl/>
        <w:shd w:val="clear" w:color="auto" w:fill="FFFFFF"/>
        <w:tabs>
          <w:tab w:val="left" w:pos="7513"/>
        </w:tabs>
        <w:adjustRightInd w:val="0"/>
        <w:snapToGrid w:val="0"/>
        <w:spacing w:before="100" w:beforeAutospacing="1" w:after="100" w:afterAutospacing="1" w:line="600" w:lineRule="exact"/>
        <w:ind w:firstLine="640" w:firstLineChars="200"/>
        <w:contextualSpacing/>
        <w:jc w:val="left"/>
        <w:rPr>
          <w:rFonts w:ascii="宋体" w:eastAsia="宋体" w:cs="宋体"/>
          <w:kern w:val="0"/>
          <w:sz w:val="24"/>
          <w:szCs w:val="24"/>
        </w:rPr>
      </w:pPr>
      <w:r>
        <w:rPr>
          <w:rFonts w:hint="eastAsia" w:ascii="黑体" w:eastAsia="黑体" w:cs="仿宋_GB2312"/>
          <w:kern w:val="0"/>
          <w:sz w:val="32"/>
          <w:szCs w:val="32"/>
        </w:rPr>
        <w:t>八、其他重要事项的情况说明</w:t>
      </w:r>
    </w:p>
    <w:p w14:paraId="25FE6CB4">
      <w:pPr>
        <w:widowControl/>
        <w:shd w:val="clear" w:color="auto" w:fill="FFFFFF"/>
        <w:tabs>
          <w:tab w:val="left" w:pos="7513"/>
        </w:tabs>
        <w:adjustRightInd w:val="0"/>
        <w:snapToGrid w:val="0"/>
        <w:spacing w:before="100" w:beforeAutospacing="1" w:after="100" w:afterAutospacing="1" w:line="600" w:lineRule="exact"/>
        <w:ind w:firstLine="640" w:firstLineChars="200"/>
        <w:contextualSpacing/>
        <w:jc w:val="left"/>
        <w:rPr>
          <w:rFonts w:ascii="宋体" w:eastAsia="宋体" w:cs="宋体"/>
          <w:kern w:val="0"/>
          <w:sz w:val="24"/>
          <w:szCs w:val="24"/>
        </w:rPr>
      </w:pPr>
      <w:r>
        <w:rPr>
          <w:rFonts w:hint="eastAsia" w:ascii="仿宋_GB2312" w:eastAsia="仿宋_GB2312" w:cs="仿宋_GB2312"/>
          <w:kern w:val="0"/>
          <w:sz w:val="32"/>
          <w:szCs w:val="32"/>
        </w:rPr>
        <w:t>（一）机关运行经费支出情况。</w:t>
      </w:r>
    </w:p>
    <w:p w14:paraId="4EDD9173">
      <w:pPr>
        <w:widowControl/>
        <w:shd w:val="clear" w:color="auto" w:fill="FFFFFF"/>
        <w:adjustRightInd w:val="0"/>
        <w:snapToGrid w:val="0"/>
        <w:spacing w:before="100" w:beforeAutospacing="1" w:after="100" w:afterAutospacing="1" w:line="620" w:lineRule="exact"/>
        <w:ind w:firstLine="640" w:firstLineChars="200"/>
        <w:contextualSpacing/>
        <w:jc w:val="left"/>
        <w:rPr>
          <w:rFonts w:ascii="仿宋_GB2312" w:eastAsia="仿宋_GB2312" w:cs="宋体"/>
          <w:kern w:val="0"/>
          <w:sz w:val="32"/>
          <w:szCs w:val="32"/>
          <w:shd w:val="clear" w:color="auto" w:fill="FFFFFF"/>
        </w:rPr>
      </w:pPr>
      <w:r>
        <w:rPr>
          <w:rFonts w:hint="eastAsia" w:ascii="仿宋_GB2312" w:eastAsia="仿宋_GB2312" w:cs="仿宋_GB2312"/>
          <w:kern w:val="0"/>
          <w:sz w:val="32"/>
          <w:szCs w:val="32"/>
        </w:rPr>
        <w:t>2017年机关运行经费支出102.79万元，比2016年增加37.17万元，增长56.65%，主要原因是2017年我办正式在编人数及借调挂职干部较上年多。</w:t>
      </w:r>
    </w:p>
    <w:p w14:paraId="1C61B530">
      <w:pPr>
        <w:widowControl/>
        <w:shd w:val="clear" w:color="auto" w:fill="FFFFFF"/>
        <w:adjustRightInd w:val="0"/>
        <w:snapToGrid w:val="0"/>
        <w:spacing w:before="100" w:beforeAutospacing="1" w:after="100" w:afterAutospacing="1" w:line="620" w:lineRule="exact"/>
        <w:ind w:firstLine="640" w:firstLineChars="200"/>
        <w:contextualSpacing/>
        <w:jc w:val="left"/>
        <w:rPr>
          <w:rFonts w:ascii="宋体" w:eastAsia="宋体" w:cs="宋体"/>
          <w:kern w:val="0"/>
          <w:sz w:val="24"/>
          <w:szCs w:val="24"/>
        </w:rPr>
      </w:pPr>
      <w:r>
        <w:rPr>
          <w:rFonts w:hint="eastAsia" w:ascii="仿宋_GB2312" w:eastAsia="仿宋_GB2312" w:cs="仿宋_GB2312"/>
          <w:kern w:val="0"/>
          <w:sz w:val="32"/>
          <w:szCs w:val="32"/>
        </w:rPr>
        <w:t>（二）政府采购支出情况。</w:t>
      </w:r>
    </w:p>
    <w:p w14:paraId="5EEAF44D">
      <w:pPr>
        <w:widowControl/>
        <w:shd w:val="clear" w:color="auto" w:fill="FFFFFF"/>
        <w:adjustRightInd w:val="0"/>
        <w:snapToGrid w:val="0"/>
        <w:spacing w:before="100" w:beforeAutospacing="1" w:after="100" w:afterAutospacing="1" w:line="620" w:lineRule="exact"/>
        <w:ind w:firstLine="640" w:firstLineChars="200"/>
        <w:contextualSpacing/>
        <w:jc w:val="left"/>
        <w:rPr>
          <w:rFonts w:ascii="仿宋_GB2312" w:eastAsia="仿宋_GB2312" w:cs="宋体"/>
          <w:color w:val="FF0000"/>
          <w:kern w:val="0"/>
          <w:sz w:val="32"/>
          <w:szCs w:val="32"/>
          <w:shd w:val="clear" w:color="auto" w:fill="FFFFFF"/>
        </w:rPr>
      </w:pPr>
      <w:r>
        <w:rPr>
          <w:rFonts w:hint="eastAsia" w:ascii="仿宋_GB2312" w:eastAsia="仿宋_GB2312" w:cs="仿宋_GB2312"/>
          <w:kern w:val="0"/>
          <w:sz w:val="32"/>
          <w:szCs w:val="32"/>
        </w:rPr>
        <w:t>2017年政府采购支出总额82.46万元，其中：政府采购货物支出1.34万元，政府采购工程支出0.00万元，政府采购服务支出 81.12万元。</w:t>
      </w:r>
    </w:p>
    <w:p w14:paraId="0C8C4C61">
      <w:pPr>
        <w:widowControl/>
        <w:shd w:val="clear" w:color="auto" w:fill="FFFFFF"/>
        <w:adjustRightInd w:val="0"/>
        <w:snapToGrid w:val="0"/>
        <w:spacing w:before="100" w:beforeAutospacing="1" w:after="100" w:afterAutospacing="1" w:line="620" w:lineRule="exact"/>
        <w:ind w:firstLine="640" w:firstLineChars="200"/>
        <w:contextualSpacing/>
        <w:jc w:val="left"/>
        <w:rPr>
          <w:rFonts w:ascii="宋体" w:eastAsia="宋体" w:cs="宋体"/>
          <w:kern w:val="0"/>
          <w:sz w:val="24"/>
          <w:szCs w:val="24"/>
        </w:rPr>
      </w:pPr>
      <w:r>
        <w:rPr>
          <w:rFonts w:hint="eastAsia" w:ascii="仿宋_GB2312" w:eastAsia="仿宋_GB2312" w:cs="仿宋_GB2312"/>
          <w:kern w:val="0"/>
          <w:sz w:val="32"/>
          <w:szCs w:val="32"/>
        </w:rPr>
        <w:t>（三）国有资产占用情况。</w:t>
      </w:r>
    </w:p>
    <w:p w14:paraId="7F489E58">
      <w:pPr>
        <w:widowControl/>
        <w:shd w:val="clear" w:color="auto" w:fill="FFFFFF"/>
        <w:adjustRightInd w:val="0"/>
        <w:snapToGrid w:val="0"/>
        <w:spacing w:before="100" w:beforeAutospacing="1" w:after="100" w:afterAutospacing="1" w:line="620" w:lineRule="exact"/>
        <w:ind w:firstLine="640" w:firstLineChars="200"/>
        <w:contextualSpacing/>
        <w:jc w:val="left"/>
        <w:rPr>
          <w:rFonts w:ascii="宋体" w:eastAsia="宋体" w:cs="宋体"/>
          <w:kern w:val="0"/>
          <w:sz w:val="24"/>
          <w:szCs w:val="24"/>
        </w:rPr>
      </w:pPr>
      <w:r>
        <w:rPr>
          <w:rFonts w:hint="eastAsia" w:ascii="仿宋_GB2312" w:eastAsia="仿宋_GB2312" w:cs="仿宋_GB2312"/>
          <w:kern w:val="0"/>
          <w:sz w:val="32"/>
          <w:szCs w:val="32"/>
        </w:rPr>
        <w:t>截至2017年12月31日，共有车辆2辆，其中：部级领导干部用车0辆；一般公务用车 2辆；一般执法执勤用车0辆；特种专业技术用车 0辆；其他用车0辆。单位价值100万元以上专用设备0台（套）。</w:t>
      </w:r>
    </w:p>
    <w:p w14:paraId="5CB7157E">
      <w:pPr>
        <w:widowControl/>
        <w:shd w:val="clear" w:color="auto" w:fill="FFFFFF"/>
        <w:tabs>
          <w:tab w:val="left" w:pos="7513"/>
        </w:tabs>
        <w:adjustRightInd w:val="0"/>
        <w:snapToGrid w:val="0"/>
        <w:spacing w:before="100" w:beforeAutospacing="1" w:after="100" w:afterAutospacing="1" w:line="600" w:lineRule="exact"/>
        <w:ind w:firstLine="640" w:firstLineChars="200"/>
        <w:contextualSpacing/>
        <w:jc w:val="left"/>
        <w:rPr>
          <w:rFonts w:ascii="宋体" w:eastAsia="宋体" w:cs="宋体"/>
          <w:kern w:val="0"/>
          <w:sz w:val="24"/>
          <w:szCs w:val="24"/>
        </w:rPr>
      </w:pPr>
      <w:r>
        <w:rPr>
          <w:rFonts w:hint="eastAsia" w:ascii="仿宋_GB2312" w:eastAsia="仿宋_GB2312" w:cs="宋体"/>
          <w:kern w:val="0"/>
          <w:sz w:val="32"/>
          <w:szCs w:val="32"/>
        </w:rPr>
        <w:t>（四）绩效管理工作开展情况。</w:t>
      </w:r>
      <w:r>
        <w:rPr>
          <w:rFonts w:hint="eastAsia" w:ascii="仿宋_GB2312" w:eastAsia="仿宋_GB2312" w:cs="仿宋_GB2312"/>
          <w:snapToGrid w:val="0"/>
          <w:kern w:val="0"/>
          <w:sz w:val="32"/>
          <w:szCs w:val="32"/>
        </w:rPr>
        <w:t>2017年我部门对鼓励金融业发展扶持资金</w:t>
      </w:r>
      <w:r>
        <w:rPr>
          <w:rFonts w:hint="eastAsia" w:ascii="仿宋_GB2312" w:eastAsia="仿宋_GB2312" w:cs="仿宋_GB2312"/>
          <w:kern w:val="0"/>
          <w:sz w:val="32"/>
          <w:szCs w:val="32"/>
        </w:rPr>
        <w:t>，涉及</w:t>
      </w:r>
      <w:r>
        <w:rPr>
          <w:rFonts w:hint="eastAsia" w:ascii="仿宋_GB2312" w:eastAsia="仿宋_GB2312" w:cs="仿宋_GB2312"/>
          <w:snapToGrid w:val="0"/>
          <w:kern w:val="0"/>
          <w:sz w:val="32"/>
          <w:szCs w:val="32"/>
        </w:rPr>
        <w:t>金额4965.95万</w:t>
      </w:r>
      <w:r>
        <w:rPr>
          <w:rFonts w:hint="eastAsia" w:ascii="仿宋_GB2312" w:eastAsia="仿宋_GB2312" w:cs="仿宋_GB2312"/>
          <w:kern w:val="0"/>
          <w:sz w:val="32"/>
          <w:szCs w:val="32"/>
        </w:rPr>
        <w:t>元，开展了绩效管理工作。从管理情况来看，</w:t>
      </w:r>
      <w:r>
        <w:rPr>
          <w:rFonts w:hint="eastAsia" w:ascii="仿宋_GB2312" w:eastAsia="仿宋_GB2312" w:cs="Times New Roman"/>
          <w:sz w:val="32"/>
          <w:szCs w:val="32"/>
        </w:rPr>
        <w:t>2017年度金融业发展扶持资金预算共4965.95万元，资金到位率100%，实际支出总额为4965.95万元，支出实现率为100%，顺利完成目标。</w:t>
      </w:r>
      <w:r>
        <w:rPr>
          <w:rFonts w:hint="eastAsia" w:ascii="仿宋_GB2312" w:eastAsia="仿宋_GB2312"/>
          <w:sz w:val="32"/>
          <w:szCs w:val="32"/>
        </w:rPr>
        <w:t>年度预期达到夯实我市金融业发展基础，增强金融业发展活力，加大金融业招商引资力度，提高金融机构入驻厦门、在厦设立分支机构的积极性等绩效目标。</w:t>
      </w:r>
      <w:r>
        <w:rPr>
          <w:rFonts w:hint="eastAsia" w:ascii="仿宋_GB2312" w:eastAsia="仿宋_GB2312" w:cs="宋体"/>
          <w:kern w:val="0"/>
          <w:sz w:val="32"/>
          <w:szCs w:val="32"/>
        </w:rPr>
        <w:t> </w:t>
      </w:r>
    </w:p>
    <w:p w14:paraId="62120A5B">
      <w:pPr>
        <w:widowControl/>
        <w:shd w:val="clear" w:color="auto" w:fill="FFFFFF"/>
        <w:snapToGrid w:val="0"/>
        <w:spacing w:before="100" w:beforeAutospacing="1" w:after="100" w:afterAutospacing="1"/>
        <w:ind w:firstLine="665" w:firstLineChars="208"/>
        <w:contextualSpacing/>
        <w:jc w:val="left"/>
        <w:rPr>
          <w:rFonts w:ascii="宋体" w:eastAsia="宋体" w:cs="宋体"/>
          <w:kern w:val="0"/>
          <w:sz w:val="24"/>
          <w:szCs w:val="24"/>
        </w:rPr>
      </w:pPr>
      <w:r>
        <w:rPr>
          <w:rFonts w:hint="eastAsia" w:ascii="黑体" w:eastAsia="黑体" w:cs="宋体"/>
          <w:kern w:val="0"/>
          <w:sz w:val="32"/>
          <w:szCs w:val="32"/>
        </w:rPr>
        <w:t>九、名词解释</w:t>
      </w:r>
    </w:p>
    <w:p w14:paraId="46F508A1">
      <w:pPr>
        <w:widowControl/>
        <w:shd w:val="clear" w:color="auto" w:fill="FFFFFF"/>
        <w:snapToGrid w:val="0"/>
        <w:spacing w:before="100" w:beforeAutospacing="1" w:after="100" w:afterAutospacing="1" w:line="620" w:lineRule="exact"/>
        <w:ind w:firstLine="640" w:firstLineChars="200"/>
        <w:contextualSpacing/>
        <w:jc w:val="left"/>
        <w:rPr>
          <w:rFonts w:ascii="宋体" w:eastAsia="宋体" w:cs="宋体"/>
          <w:kern w:val="0"/>
          <w:sz w:val="24"/>
          <w:szCs w:val="24"/>
        </w:rPr>
      </w:pPr>
      <w:r>
        <w:rPr>
          <w:rFonts w:hint="eastAsia" w:ascii="仿宋_GB2312" w:eastAsia="仿宋_GB2312" w:cs="宋体"/>
          <w:kern w:val="0"/>
          <w:sz w:val="32"/>
          <w:szCs w:val="32"/>
        </w:rPr>
        <w:t>（一）财政拨款收入：指由财政拨款形成的部门收入。按现行管理制度，部门预算中反映的财政拨款包括一般公共预算拨款和政府性基金预算拨款。</w:t>
      </w:r>
    </w:p>
    <w:p w14:paraId="160AD087">
      <w:pPr>
        <w:widowControl/>
        <w:shd w:val="clear" w:color="auto" w:fill="FFFFFF"/>
        <w:snapToGrid w:val="0"/>
        <w:spacing w:before="100" w:beforeAutospacing="1" w:after="100" w:afterAutospacing="1" w:line="620" w:lineRule="exact"/>
        <w:ind w:firstLine="640" w:firstLineChars="200"/>
        <w:contextualSpacing/>
        <w:jc w:val="left"/>
        <w:rPr>
          <w:rFonts w:ascii="宋体" w:eastAsia="宋体" w:cs="宋体"/>
          <w:kern w:val="0"/>
          <w:sz w:val="24"/>
          <w:szCs w:val="24"/>
        </w:rPr>
      </w:pPr>
      <w:r>
        <w:rPr>
          <w:rFonts w:hint="eastAsia" w:ascii="仿宋_GB2312" w:eastAsia="仿宋_GB2312" w:cs="宋体"/>
          <w:kern w:val="0"/>
          <w:sz w:val="32"/>
          <w:szCs w:val="32"/>
        </w:rPr>
        <w:t>（二）其他收入：指“财政拨款收入”、“事业收入”、“事业单位经营收入”等以外的收入。如从非同级财政部门、上级主管部门等取得的用于完成项目或专项任务的资金、库存现金溢余、利息收入等。</w:t>
      </w:r>
    </w:p>
    <w:p w14:paraId="431DF225">
      <w:pPr>
        <w:widowControl/>
        <w:shd w:val="clear" w:color="auto" w:fill="FFFFFF"/>
        <w:snapToGrid w:val="0"/>
        <w:spacing w:before="100" w:beforeAutospacing="1" w:after="100" w:afterAutospacing="1" w:line="620" w:lineRule="exact"/>
        <w:ind w:firstLine="640" w:firstLineChars="200"/>
        <w:contextualSpacing/>
        <w:jc w:val="left"/>
        <w:rPr>
          <w:rFonts w:ascii="宋体" w:eastAsia="宋体" w:cs="宋体"/>
          <w:kern w:val="0"/>
          <w:sz w:val="24"/>
          <w:szCs w:val="24"/>
        </w:rPr>
      </w:pPr>
      <w:r>
        <w:rPr>
          <w:rFonts w:hint="eastAsia" w:ascii="仿宋_GB2312" w:eastAsia="仿宋_GB2312" w:cs="宋体"/>
          <w:kern w:val="0"/>
          <w:sz w:val="32"/>
          <w:szCs w:val="32"/>
        </w:rPr>
        <w:t>（三）基本支出：指为保障机构正常运转、完成日常工作任务而发生的人员支出、对个人和家庭的补助支出和公用支出。</w:t>
      </w:r>
    </w:p>
    <w:p w14:paraId="09389BA3">
      <w:pPr>
        <w:widowControl/>
        <w:shd w:val="clear" w:color="auto" w:fill="FFFFFF"/>
        <w:snapToGrid w:val="0"/>
        <w:spacing w:before="100" w:beforeAutospacing="1" w:after="100" w:afterAutospacing="1" w:line="620" w:lineRule="exact"/>
        <w:ind w:firstLine="640" w:firstLineChars="200"/>
        <w:contextualSpacing/>
        <w:jc w:val="left"/>
        <w:rPr>
          <w:rFonts w:ascii="宋体" w:eastAsia="宋体" w:cs="宋体"/>
          <w:kern w:val="0"/>
          <w:sz w:val="24"/>
          <w:szCs w:val="24"/>
        </w:rPr>
      </w:pPr>
      <w:r>
        <w:rPr>
          <w:rFonts w:hint="eastAsia" w:ascii="仿宋_GB2312" w:eastAsia="仿宋_GB2312" w:cs="宋体"/>
          <w:kern w:val="0"/>
          <w:sz w:val="32"/>
          <w:szCs w:val="32"/>
        </w:rPr>
        <w:t>（四）项目支出：指在基本支出之外为完成特定行政任务和事业发展目标所发生的支出，包括部门专项、发展经费和基建项目。</w:t>
      </w:r>
    </w:p>
    <w:p w14:paraId="57CC6337">
      <w:pPr>
        <w:widowControl/>
        <w:shd w:val="clear" w:color="auto" w:fill="FFFFFF"/>
        <w:snapToGrid w:val="0"/>
        <w:spacing w:before="100" w:beforeAutospacing="1" w:after="100" w:afterAutospacing="1" w:line="620" w:lineRule="exact"/>
        <w:ind w:firstLine="640" w:firstLineChars="200"/>
        <w:contextualSpacing/>
        <w:jc w:val="left"/>
        <w:rPr>
          <w:rFonts w:ascii="宋体" w:eastAsia="宋体" w:cs="宋体"/>
          <w:kern w:val="0"/>
          <w:sz w:val="24"/>
          <w:szCs w:val="24"/>
        </w:rPr>
      </w:pPr>
      <w:r>
        <w:rPr>
          <w:rFonts w:hint="eastAsia" w:ascii="仿宋_GB2312" w:eastAsia="仿宋_GB2312" w:cs="宋体"/>
          <w:kern w:val="0"/>
          <w:sz w:val="32"/>
          <w:szCs w:val="32"/>
        </w:rPr>
        <w:t>（五） 机关运行经费：为保障行政单位（包括参照公务员法管理的事业单位）运行用于购买货物和服务的各项资金，包括办公及印刷费、邮电费、差旅费、会议费、福利费、日常维修费、专用材料及一般设备购置费、办公用房水电费、办公用房物业管理费、公务用车运行维护费以及其他费用。</w:t>
      </w:r>
    </w:p>
    <w:p w14:paraId="4882B168">
      <w:pPr>
        <w:widowControl/>
        <w:shd w:val="clear" w:color="auto" w:fill="FFFFFF"/>
        <w:snapToGrid w:val="0"/>
        <w:spacing w:before="100" w:beforeAutospacing="1" w:after="100" w:afterAutospacing="1"/>
        <w:ind w:firstLine="515" w:firstLineChars="161"/>
        <w:contextualSpacing/>
        <w:jc w:val="left"/>
        <w:rPr>
          <w:rFonts w:ascii="宋体" w:eastAsia="宋体" w:cs="宋体"/>
          <w:kern w:val="0"/>
          <w:sz w:val="24"/>
          <w:szCs w:val="24"/>
        </w:rPr>
      </w:pPr>
      <w:r>
        <w:rPr>
          <w:rFonts w:hint="eastAsia" w:ascii="仿宋_GB2312" w:eastAsia="仿宋_GB2312" w:cs="宋体"/>
          <w:kern w:val="0"/>
          <w:sz w:val="32"/>
          <w:szCs w:val="32"/>
        </w:rPr>
        <w:t> </w:t>
      </w:r>
    </w:p>
    <w:p w14:paraId="4ECB2EAE">
      <w:pPr>
        <w:widowControl/>
        <w:shd w:val="clear" w:color="auto" w:fill="FFFFFF"/>
        <w:snapToGrid w:val="0"/>
        <w:spacing w:before="100" w:beforeAutospacing="1" w:after="100" w:afterAutospacing="1"/>
        <w:ind w:firstLine="515" w:firstLineChars="161"/>
        <w:contextualSpacing/>
        <w:jc w:val="left"/>
        <w:rPr>
          <w:rFonts w:hint="eastAsia" w:ascii="仿宋_GB2312" w:eastAsia="仿宋_GB2312" w:cs="宋体"/>
          <w:kern w:val="0"/>
          <w:sz w:val="32"/>
          <w:szCs w:val="32"/>
        </w:rPr>
      </w:pPr>
      <w:r>
        <w:rPr>
          <w:rFonts w:hint="eastAsia" w:ascii="仿宋_GB2312" w:eastAsia="仿宋_GB2312" w:cs="宋体"/>
          <w:kern w:val="0"/>
          <w:sz w:val="32"/>
          <w:szCs w:val="32"/>
        </w:rPr>
        <w:t>附件： 1.收支决算总表</w:t>
      </w:r>
    </w:p>
    <w:p w14:paraId="6EDE7FBD">
      <w:pPr>
        <w:widowControl/>
        <w:shd w:val="clear" w:color="auto" w:fill="FFFFFF"/>
        <w:snapToGrid w:val="0"/>
        <w:spacing w:before="100" w:beforeAutospacing="1" w:after="100" w:afterAutospacing="1"/>
        <w:ind w:firstLine="200"/>
        <w:contextualSpacing/>
        <w:jc w:val="left"/>
        <w:rPr>
          <w:rFonts w:hint="eastAsia" w:ascii="仿宋_GB2312" w:eastAsia="仿宋_GB2312" w:cs="宋体"/>
          <w:kern w:val="0"/>
          <w:sz w:val="32"/>
          <w:szCs w:val="32"/>
        </w:rPr>
      </w:pPr>
      <w:r>
        <w:rPr>
          <w:rFonts w:hint="eastAsia" w:ascii="仿宋_GB2312" w:eastAsia="仿宋_GB2312" w:cs="宋体"/>
          <w:kern w:val="0"/>
          <w:sz w:val="32"/>
          <w:szCs w:val="32"/>
        </w:rPr>
        <w:t>           2.收入决算表</w:t>
      </w:r>
    </w:p>
    <w:p w14:paraId="7CC030CA">
      <w:pPr>
        <w:widowControl/>
        <w:shd w:val="clear" w:color="auto" w:fill="FFFFFF"/>
        <w:snapToGrid w:val="0"/>
        <w:spacing w:before="100" w:beforeAutospacing="1" w:after="100" w:afterAutospacing="1"/>
        <w:ind w:firstLine="1632" w:firstLineChars="510"/>
        <w:contextualSpacing/>
        <w:jc w:val="left"/>
        <w:rPr>
          <w:rFonts w:hint="eastAsia" w:ascii="仿宋_GB2312" w:eastAsia="仿宋_GB2312" w:cs="宋体"/>
          <w:kern w:val="0"/>
          <w:sz w:val="32"/>
          <w:szCs w:val="32"/>
        </w:rPr>
      </w:pPr>
      <w:r>
        <w:rPr>
          <w:rFonts w:hint="eastAsia" w:ascii="仿宋_GB2312" w:eastAsia="仿宋_GB2312" w:cs="宋体"/>
          <w:kern w:val="0"/>
          <w:sz w:val="32"/>
          <w:szCs w:val="32"/>
        </w:rPr>
        <w:t>3.支出决算表</w:t>
      </w:r>
    </w:p>
    <w:p w14:paraId="2F90FE2A">
      <w:pPr>
        <w:widowControl/>
        <w:shd w:val="clear" w:color="auto" w:fill="FFFFFF"/>
        <w:snapToGrid w:val="0"/>
        <w:spacing w:before="100" w:beforeAutospacing="1" w:after="100" w:afterAutospacing="1"/>
        <w:ind w:firstLine="1632" w:firstLineChars="510"/>
        <w:contextualSpacing/>
        <w:jc w:val="left"/>
        <w:rPr>
          <w:rFonts w:hint="eastAsia" w:ascii="仿宋_GB2312" w:eastAsia="仿宋_GB2312" w:cs="宋体"/>
          <w:kern w:val="0"/>
          <w:sz w:val="32"/>
          <w:szCs w:val="32"/>
        </w:rPr>
      </w:pPr>
      <w:r>
        <w:rPr>
          <w:rFonts w:hint="eastAsia" w:ascii="仿宋_GB2312" w:eastAsia="仿宋_GB2312" w:cs="宋体"/>
          <w:kern w:val="0"/>
          <w:sz w:val="32"/>
          <w:szCs w:val="32"/>
        </w:rPr>
        <w:t>4.财政拨款收入支出决算总表</w:t>
      </w:r>
    </w:p>
    <w:p w14:paraId="4C9739C2">
      <w:pPr>
        <w:widowControl/>
        <w:shd w:val="clear" w:color="auto" w:fill="FFFFFF"/>
        <w:snapToGrid w:val="0"/>
        <w:spacing w:before="100" w:beforeAutospacing="1" w:after="100" w:afterAutospacing="1"/>
        <w:ind w:firstLine="1632" w:firstLineChars="510"/>
        <w:contextualSpacing/>
        <w:jc w:val="left"/>
        <w:rPr>
          <w:rFonts w:hint="eastAsia" w:ascii="仿宋_GB2312" w:eastAsia="仿宋_GB2312" w:cs="宋体"/>
          <w:kern w:val="0"/>
          <w:sz w:val="32"/>
          <w:szCs w:val="32"/>
        </w:rPr>
      </w:pPr>
      <w:r>
        <w:rPr>
          <w:rFonts w:hint="eastAsia" w:ascii="仿宋_GB2312" w:eastAsia="仿宋_GB2312" w:cs="宋体"/>
          <w:kern w:val="0"/>
          <w:sz w:val="32"/>
          <w:szCs w:val="32"/>
        </w:rPr>
        <w:t>5.一般公共预算财政拨款支出决算表</w:t>
      </w:r>
    </w:p>
    <w:p w14:paraId="269772FD">
      <w:pPr>
        <w:widowControl/>
        <w:shd w:val="clear" w:color="auto" w:fill="FFFFFF"/>
        <w:snapToGrid w:val="0"/>
        <w:spacing w:before="100" w:beforeAutospacing="1" w:after="100" w:afterAutospacing="1"/>
        <w:ind w:firstLine="1632" w:firstLineChars="510"/>
        <w:contextualSpacing/>
        <w:jc w:val="left"/>
        <w:rPr>
          <w:rFonts w:hint="eastAsia" w:ascii="仿宋_GB2312" w:eastAsia="仿宋_GB2312" w:cs="宋体"/>
          <w:kern w:val="0"/>
          <w:sz w:val="32"/>
          <w:szCs w:val="32"/>
        </w:rPr>
      </w:pPr>
      <w:r>
        <w:rPr>
          <w:rFonts w:hint="eastAsia" w:ascii="仿宋_GB2312" w:eastAsia="仿宋_GB2312" w:cs="宋体"/>
          <w:kern w:val="0"/>
          <w:sz w:val="32"/>
          <w:szCs w:val="32"/>
        </w:rPr>
        <w:t>6.一般公共预算财政拨款支出决算明细表</w:t>
      </w:r>
    </w:p>
    <w:p w14:paraId="5FFD447E">
      <w:pPr>
        <w:widowControl/>
        <w:shd w:val="clear" w:color="auto" w:fill="FFFFFF"/>
        <w:snapToGrid w:val="0"/>
        <w:spacing w:before="100" w:beforeAutospacing="1" w:after="100" w:afterAutospacing="1"/>
        <w:ind w:firstLine="1632" w:firstLineChars="510"/>
        <w:contextualSpacing/>
        <w:jc w:val="left"/>
        <w:rPr>
          <w:rFonts w:hint="eastAsia" w:ascii="仿宋_GB2312" w:eastAsia="仿宋_GB2312" w:cs="宋体"/>
          <w:kern w:val="0"/>
          <w:sz w:val="32"/>
          <w:szCs w:val="32"/>
        </w:rPr>
      </w:pPr>
      <w:r>
        <w:rPr>
          <w:rFonts w:hint="eastAsia" w:ascii="仿宋_GB2312" w:eastAsia="仿宋_GB2312" w:cs="宋体"/>
          <w:kern w:val="0"/>
          <w:sz w:val="32"/>
          <w:szCs w:val="32"/>
        </w:rPr>
        <w:t>7.一般公共预算财政拨款基本支出决算表</w:t>
      </w:r>
    </w:p>
    <w:p w14:paraId="0CFF05B0">
      <w:pPr>
        <w:widowControl/>
        <w:shd w:val="clear" w:color="auto" w:fill="FFFFFF"/>
        <w:snapToGrid w:val="0"/>
        <w:spacing w:before="100" w:beforeAutospacing="1" w:after="100" w:afterAutospacing="1"/>
        <w:ind w:firstLine="200"/>
        <w:contextualSpacing/>
        <w:jc w:val="left"/>
        <w:rPr>
          <w:rFonts w:hint="eastAsia" w:ascii="仿宋_GB2312" w:eastAsia="仿宋_GB2312" w:cs="宋体"/>
          <w:kern w:val="0"/>
          <w:sz w:val="32"/>
          <w:szCs w:val="32"/>
        </w:rPr>
      </w:pPr>
      <w:r>
        <w:rPr>
          <w:rFonts w:hint="eastAsia" w:ascii="仿宋_GB2312" w:eastAsia="仿宋_GB2312" w:cs="宋体"/>
          <w:kern w:val="0"/>
          <w:sz w:val="32"/>
          <w:szCs w:val="32"/>
        </w:rPr>
        <w:t>           8.政府性基金预算财政拨款收入支出决算表</w:t>
      </w:r>
    </w:p>
    <w:p w14:paraId="4826D010">
      <w:pPr>
        <w:widowControl/>
        <w:shd w:val="clear" w:color="auto" w:fill="FFFFFF"/>
        <w:snapToGrid w:val="0"/>
        <w:spacing w:before="100" w:beforeAutospacing="1" w:after="100" w:afterAutospacing="1"/>
        <w:ind w:firstLine="1632" w:firstLineChars="510"/>
        <w:contextualSpacing/>
        <w:jc w:val="left"/>
        <w:rPr>
          <w:rFonts w:hint="eastAsia" w:ascii="仿宋_GB2312" w:eastAsia="仿宋_GB2312" w:cs="宋体"/>
          <w:kern w:val="0"/>
          <w:sz w:val="32"/>
          <w:szCs w:val="32"/>
        </w:rPr>
      </w:pPr>
      <w:r>
        <w:rPr>
          <w:rFonts w:hint="eastAsia" w:ascii="仿宋_GB2312" w:eastAsia="仿宋_GB2312" w:cs="宋体"/>
          <w:kern w:val="0"/>
          <w:sz w:val="32"/>
          <w:szCs w:val="32"/>
        </w:rPr>
        <w:t>9.“三公”经费公共预算财政拨款支出决算</w:t>
      </w:r>
    </w:p>
    <w:p w14:paraId="47E9F6E0">
      <w:pPr>
        <w:widowControl/>
        <w:shd w:val="clear" w:color="auto" w:fill="FFFFFF"/>
        <w:snapToGrid w:val="0"/>
        <w:spacing w:before="100" w:beforeAutospacing="1" w:after="100" w:afterAutospacing="1"/>
        <w:ind w:firstLine="1632" w:firstLineChars="510"/>
        <w:contextualSpacing/>
        <w:jc w:val="left"/>
        <w:rPr>
          <w:rFonts w:hint="eastAsia" w:ascii="仿宋_GB2312" w:eastAsia="仿宋_GB2312" w:cs="宋体"/>
          <w:kern w:val="0"/>
          <w:sz w:val="32"/>
          <w:szCs w:val="32"/>
        </w:rPr>
      </w:pPr>
      <w:r>
        <w:rPr>
          <w:rFonts w:hint="eastAsia" w:ascii="仿宋_GB2312" w:eastAsia="仿宋_GB2312" w:cs="宋体"/>
          <w:kern w:val="0"/>
          <w:sz w:val="32"/>
          <w:szCs w:val="32"/>
        </w:rPr>
        <w:t>10.政府采购情况表</w:t>
      </w:r>
    </w:p>
    <w:p w14:paraId="1C8D7B21"/>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54EBA">
    <w:pPr>
      <w:pStyle w:val="3"/>
      <w:framePr w:wrap="around" w:vAnchor="text" w:hAnchor="margin" w:xAlign="right" w:y="1"/>
      <w:pBdr>
        <w:top w:val="none" w:color="auto" w:sz="0" w:space="0"/>
        <w:left w:val="none" w:color="auto" w:sz="0" w:space="0"/>
        <w:bottom w:val="none" w:color="auto" w:sz="0" w:space="0"/>
        <w:right w:val="none" w:color="auto" w:sz="0" w:space="0"/>
      </w:pBdr>
    </w:pPr>
    <w:r>
      <w:rPr>
        <w:rStyle w:val="7"/>
      </w:rPr>
      <w:fldChar w:fldCharType="begin"/>
    </w:r>
    <w:r>
      <w:rPr>
        <w:rStyle w:val="7"/>
      </w:rPr>
      <w:instrText xml:space="preserve">Page</w:instrText>
    </w:r>
    <w:r>
      <w:rPr>
        <w:rStyle w:val="7"/>
      </w:rPr>
      <w:fldChar w:fldCharType="separate"/>
    </w:r>
    <w:r>
      <w:rPr>
        <w:rStyle w:val="7"/>
      </w:rPr>
      <w:t>1</w:t>
    </w:r>
    <w:r>
      <w:rPr>
        <w:rStyle w:val="7"/>
      </w:rPr>
      <w:fldChar w:fldCharType="end"/>
    </w:r>
  </w:p>
  <w:p w14:paraId="4A43A389">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BA323">
    <w:pPr>
      <w:pStyle w:val="3"/>
      <w:framePr w:wrap="around" w:vAnchor="text" w:hAnchor="margin" w:xAlign="right" w:y="1"/>
      <w:pBdr>
        <w:top w:val="none" w:color="auto" w:sz="0" w:space="0"/>
        <w:left w:val="none" w:color="auto" w:sz="0" w:space="0"/>
        <w:bottom w:val="none" w:color="auto" w:sz="0" w:space="0"/>
        <w:right w:val="none" w:color="auto" w:sz="0" w:space="0"/>
      </w:pBdr>
    </w:pPr>
    <w:r>
      <w:rPr>
        <w:rStyle w:val="7"/>
      </w:rPr>
      <w:fldChar w:fldCharType="begin"/>
    </w:r>
    <w:r>
      <w:rPr>
        <w:rStyle w:val="7"/>
      </w:rPr>
      <w:instrText xml:space="preserve">Page</w:instrText>
    </w:r>
    <w:r>
      <w:rPr>
        <w:rStyle w:val="7"/>
      </w:rPr>
      <w:fldChar w:fldCharType="separate"/>
    </w:r>
    <w:r>
      <w:rPr>
        <w:rStyle w:val="7"/>
      </w:rPr>
      <w:t>1</w:t>
    </w:r>
    <w:r>
      <w:rPr>
        <w:rStyle w:val="7"/>
      </w:rPr>
      <w:fldChar w:fldCharType="end"/>
    </w:r>
  </w:p>
  <w:p w14:paraId="164419D6">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
  <w:rsids>
    <w:rsidRoot w:val="00000000"/>
    <w:rsid w:val="62B416A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autoRedefine/>
    <w:uiPriority w:val="0"/>
    <w:pPr>
      <w:keepNext/>
      <w:keepLines/>
      <w:widowControl w:val="0"/>
      <w:spacing w:line="360" w:lineRule="auto"/>
      <w:jc w:val="center"/>
      <w:outlineLvl w:val="0"/>
    </w:pPr>
    <w:rPr>
      <w:rFonts w:ascii="黑体" w:eastAsia="黑体" w:cs="Times New Roman"/>
      <w:snapToGrid w:val="0"/>
      <w:color w:val="000000"/>
      <w:sz w:val="36"/>
      <w:szCs w:val="36"/>
    </w:rPr>
  </w:style>
  <w:style w:type="character" w:default="1" w:styleId="6">
    <w:name w:val="Default Paragraph Fon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Company>Microsoft</Company>
  <Pages>9</Pages>
  <Words>498</Words>
  <Characters>510</Characters>
  <Lines>202</Lines>
  <Paragraphs>85</Paragraphs>
  <TotalTime>1602</TotalTime>
  <ScaleCrop>false</ScaleCrop>
  <LinksUpToDate>false</LinksUpToDate>
  <CharactersWithSpaces>513</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2018-07-31T08:15:00Z</dcterms:created>
  <dc:creator>dell</dc:creator>
  <cp:lastModifiedBy>胡菠萝</cp:lastModifiedBy>
  <cp:lastPrinted>2018-08-03T03:09:00Z</cp:lastPrinted>
  <dcterms:modified xsi:type="dcterms:W3CDTF">2026-02-24T06:32:23Z</dcterms:modified>
  <cp:revision>179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eyJoZGlkIjoiNmJlMmVjYjkyMGQwY2IyNDQzMmMzMjhhYTdjMTVjYTQiLCJ1c2VySWQiOiIyODc0MzExMDQifQ==</vt:lpwstr>
  </property>
  <property fmtid="{D5CDD505-2E9C-101B-9397-08002B2CF9AE}" pid="3" name="KSOProductBuildVer">
    <vt:lpwstr>2052-12.1.0.25225</vt:lpwstr>
  </property>
  <property fmtid="{D5CDD505-2E9C-101B-9397-08002B2CF9AE}" pid="4" name="ICV">
    <vt:lpwstr>307A68BBB311406DB49601A64B921D32_12</vt:lpwstr>
  </property>
</Properties>
</file>