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F4D88">
      <w:pPr>
        <w:spacing w:line="560" w:lineRule="exact"/>
        <w:jc w:val="center"/>
        <w:rPr>
          <w:rFonts w:ascii="方正小标宋简体" w:eastAsia="方正小标宋简体" w:cs="仿宋_GB2312"/>
          <w:sz w:val="44"/>
          <w:szCs w:val="44"/>
        </w:rPr>
      </w:pPr>
      <w:r>
        <w:rPr>
          <w:rFonts w:hint="eastAsia" w:ascii="方正小标宋简体" w:eastAsia="方正小标宋简体" w:cs="仿宋_GB2312"/>
          <w:sz w:val="44"/>
          <w:szCs w:val="44"/>
        </w:rPr>
        <w:t>2019年</w:t>
      </w:r>
      <w:r>
        <w:rPr>
          <w:rFonts w:ascii="方正小标宋简体" w:eastAsia="方正小标宋简体" w:cs="仿宋_GB2312"/>
          <w:sz w:val="44"/>
          <w:szCs w:val="44"/>
        </w:rPr>
        <w:t>厦门市发展和改革委员会</w:t>
      </w:r>
    </w:p>
    <w:p w14:paraId="6A03DA7A">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部门预算说明</w:t>
      </w:r>
    </w:p>
    <w:p w14:paraId="1DC35E0A">
      <w:pPr>
        <w:spacing w:line="560" w:lineRule="exact"/>
        <w:jc w:val="center"/>
        <w:rPr>
          <w:rFonts w:ascii="黑体" w:eastAsia="黑体"/>
          <w:sz w:val="32"/>
          <w:szCs w:val="32"/>
        </w:rPr>
      </w:pPr>
    </w:p>
    <w:p w14:paraId="0857A3F0">
      <w:pPr>
        <w:spacing w:line="560" w:lineRule="exact"/>
        <w:jc w:val="center"/>
        <w:rPr>
          <w:rFonts w:ascii="黑体" w:eastAsia="黑体"/>
          <w:sz w:val="32"/>
          <w:szCs w:val="32"/>
        </w:rPr>
      </w:pPr>
      <w:r>
        <w:rPr>
          <w:rFonts w:hint="eastAsia" w:ascii="黑体" w:eastAsia="黑体"/>
          <w:sz w:val="32"/>
          <w:szCs w:val="32"/>
        </w:rPr>
        <w:t>目   录</w:t>
      </w:r>
    </w:p>
    <w:p w14:paraId="7F15097D">
      <w:pPr>
        <w:tabs>
          <w:tab w:val="left" w:pos="7513"/>
        </w:tabs>
        <w:adjustRightInd w:val="0"/>
        <w:snapToGrid w:val="0"/>
        <w:spacing w:line="560" w:lineRule="exact"/>
        <w:ind w:firstLine="640" w:firstLineChars="200"/>
        <w:rPr>
          <w:rFonts w:ascii="黑体" w:eastAsia="黑体"/>
          <w:sz w:val="32"/>
          <w:szCs w:val="32"/>
        </w:rPr>
      </w:pPr>
      <w:r>
        <w:rPr>
          <w:rFonts w:hint="eastAsia" w:ascii="黑体" w:eastAsia="黑体"/>
          <w:sz w:val="32"/>
          <w:szCs w:val="32"/>
        </w:rPr>
        <w:t>第一部分  部门概况</w:t>
      </w:r>
    </w:p>
    <w:p w14:paraId="4CDF941F">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一、部门主要职责</w:t>
      </w:r>
    </w:p>
    <w:p w14:paraId="4C68CE2E">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二、部门预算单位基本情况</w:t>
      </w:r>
    </w:p>
    <w:p w14:paraId="313232F8">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三、部门主要工作任务</w:t>
      </w:r>
    </w:p>
    <w:p w14:paraId="65F24276">
      <w:pPr>
        <w:tabs>
          <w:tab w:val="left" w:pos="7513"/>
        </w:tabs>
        <w:adjustRightInd w:val="0"/>
        <w:snapToGrid w:val="0"/>
        <w:spacing w:line="560" w:lineRule="exact"/>
        <w:ind w:firstLine="640" w:firstLineChars="200"/>
        <w:rPr>
          <w:rFonts w:ascii="黑体" w:eastAsia="黑体"/>
          <w:sz w:val="32"/>
          <w:szCs w:val="32"/>
        </w:rPr>
      </w:pPr>
      <w:r>
        <w:rPr>
          <w:rFonts w:hint="eastAsia" w:ascii="黑体" w:eastAsia="黑体"/>
          <w:sz w:val="32"/>
          <w:szCs w:val="32"/>
        </w:rPr>
        <w:t>第二部分  2019年部门预算说明</w:t>
      </w:r>
    </w:p>
    <w:p w14:paraId="78C6D00A">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一、2019年部门预算收支总体情况</w:t>
      </w:r>
    </w:p>
    <w:p w14:paraId="7A702AE9">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二、一般公共预算财政拨款支出预算情况</w:t>
      </w:r>
    </w:p>
    <w:p w14:paraId="3F1C9029">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三、政府性基金预算财政拨款支出情况</w:t>
      </w:r>
    </w:p>
    <w:p w14:paraId="2CB639F4">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四、“三公”经费财政拨款预算情况</w:t>
      </w:r>
    </w:p>
    <w:p w14:paraId="2C74C6FB">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五、其他重要事项的情况说明</w:t>
      </w:r>
    </w:p>
    <w:p w14:paraId="662F31FD">
      <w:pPr>
        <w:tabs>
          <w:tab w:val="left" w:pos="7513"/>
        </w:tabs>
        <w:adjustRightInd w:val="0"/>
        <w:snapToGrid w:val="0"/>
        <w:spacing w:line="560" w:lineRule="exact"/>
        <w:ind w:firstLine="640" w:firstLineChars="200"/>
        <w:rPr>
          <w:rFonts w:ascii="黑体" w:eastAsia="黑体"/>
          <w:sz w:val="32"/>
          <w:szCs w:val="32"/>
        </w:rPr>
      </w:pPr>
      <w:r>
        <w:rPr>
          <w:rFonts w:hint="eastAsia" w:ascii="黑体" w:eastAsia="黑体"/>
          <w:sz w:val="32"/>
          <w:szCs w:val="32"/>
        </w:rPr>
        <w:t>第三部分  名词解释</w:t>
      </w:r>
    </w:p>
    <w:p w14:paraId="5A3C22F8">
      <w:pPr>
        <w:tabs>
          <w:tab w:val="left" w:pos="7513"/>
        </w:tabs>
        <w:adjustRightInd w:val="0"/>
        <w:snapToGrid w:val="0"/>
        <w:spacing w:line="560" w:lineRule="exact"/>
        <w:ind w:firstLine="640" w:firstLineChars="200"/>
        <w:rPr>
          <w:rFonts w:ascii="黑体" w:eastAsia="黑体"/>
          <w:sz w:val="32"/>
          <w:szCs w:val="32"/>
        </w:rPr>
      </w:pPr>
      <w:r>
        <w:rPr>
          <w:rFonts w:hint="eastAsia" w:ascii="黑体" w:eastAsia="黑体"/>
          <w:sz w:val="32"/>
          <w:szCs w:val="32"/>
        </w:rPr>
        <w:t>第四部分  2019年部门预算附表</w:t>
      </w:r>
    </w:p>
    <w:p w14:paraId="72A7CC05">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一、部门收支预算总体情况表</w:t>
      </w:r>
    </w:p>
    <w:p w14:paraId="029D5760">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二、部门收入预算总体情况表</w:t>
      </w:r>
    </w:p>
    <w:p w14:paraId="5E398898">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三、部门支出预算总体情况表</w:t>
      </w:r>
    </w:p>
    <w:p w14:paraId="11743EC7">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四、财政拨款收支预算总体情况表</w:t>
      </w:r>
    </w:p>
    <w:p w14:paraId="02716FA9">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w:t>
      </w:r>
      <w:r>
        <w:rPr>
          <w:rFonts w:hint="eastAsia"/>
        </w:rPr>
        <w:t xml:space="preserve"> </w:t>
      </w:r>
      <w:r>
        <w:rPr>
          <w:rFonts w:hint="eastAsia" w:ascii="仿宋_GB2312" w:eastAsia="仿宋_GB2312" w:cs="仿宋_GB2312"/>
          <w:sz w:val="32"/>
          <w:szCs w:val="32"/>
        </w:rPr>
        <w:t>一般公共预算支出情况表</w:t>
      </w:r>
    </w:p>
    <w:p w14:paraId="792CBB50">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六、一般公共预算基本支出情况表（经济分类款级科目）</w:t>
      </w:r>
    </w:p>
    <w:p w14:paraId="2F12132C">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七、一般公共预算“三公”经费支出情况表</w:t>
      </w:r>
    </w:p>
    <w:p w14:paraId="661FB1CB">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八、政府性基金预算支出情况表</w:t>
      </w:r>
    </w:p>
    <w:p w14:paraId="0CFA904A">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九、市对区转移支付支出预算表</w:t>
      </w:r>
    </w:p>
    <w:p w14:paraId="5A85BB52">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十、项目绩效目标表(限试点公开部门)</w:t>
      </w:r>
    </w:p>
    <w:p w14:paraId="1B475F88">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十一、部门整体支出绩效目标表(限试点公开部门)</w:t>
      </w:r>
    </w:p>
    <w:p w14:paraId="2E16EE0C">
      <w:pPr>
        <w:tabs>
          <w:tab w:val="left" w:pos="7513"/>
        </w:tabs>
        <w:adjustRightInd w:val="0"/>
        <w:snapToGrid w:val="0"/>
        <w:spacing w:line="560" w:lineRule="exact"/>
        <w:jc w:val="center"/>
        <w:rPr>
          <w:rFonts w:ascii="黑体" w:eastAsia="黑体"/>
          <w:sz w:val="32"/>
          <w:szCs w:val="32"/>
        </w:rPr>
      </w:pPr>
    </w:p>
    <w:p w14:paraId="6C63F967">
      <w:pPr>
        <w:tabs>
          <w:tab w:val="left" w:pos="7513"/>
        </w:tabs>
        <w:adjustRightInd w:val="0"/>
        <w:snapToGrid w:val="0"/>
        <w:spacing w:line="560" w:lineRule="exact"/>
        <w:jc w:val="center"/>
        <w:rPr>
          <w:rFonts w:ascii="黑体" w:eastAsia="黑体"/>
          <w:sz w:val="32"/>
          <w:szCs w:val="32"/>
        </w:rPr>
      </w:pPr>
    </w:p>
    <w:p w14:paraId="7466A024">
      <w:pPr>
        <w:tabs>
          <w:tab w:val="left" w:pos="7513"/>
        </w:tabs>
        <w:adjustRightInd w:val="0"/>
        <w:snapToGrid w:val="0"/>
        <w:spacing w:line="560" w:lineRule="exact"/>
        <w:jc w:val="center"/>
        <w:rPr>
          <w:rFonts w:ascii="黑体" w:eastAsia="黑体"/>
          <w:sz w:val="32"/>
          <w:szCs w:val="32"/>
        </w:rPr>
      </w:pPr>
    </w:p>
    <w:p w14:paraId="5113CE33">
      <w:pPr>
        <w:tabs>
          <w:tab w:val="left" w:pos="7513"/>
        </w:tabs>
        <w:adjustRightInd w:val="0"/>
        <w:snapToGrid w:val="0"/>
        <w:spacing w:line="560" w:lineRule="exact"/>
        <w:jc w:val="center"/>
        <w:rPr>
          <w:rFonts w:ascii="黑体" w:eastAsia="黑体"/>
          <w:sz w:val="32"/>
          <w:szCs w:val="32"/>
        </w:rPr>
      </w:pPr>
    </w:p>
    <w:p w14:paraId="27442C40">
      <w:pPr>
        <w:tabs>
          <w:tab w:val="left" w:pos="7513"/>
        </w:tabs>
        <w:adjustRightInd w:val="0"/>
        <w:snapToGrid w:val="0"/>
        <w:spacing w:line="560" w:lineRule="exact"/>
        <w:jc w:val="center"/>
        <w:rPr>
          <w:rFonts w:ascii="黑体" w:eastAsia="黑体"/>
          <w:sz w:val="32"/>
          <w:szCs w:val="32"/>
        </w:rPr>
      </w:pPr>
    </w:p>
    <w:p w14:paraId="2CDA7BF9">
      <w:pPr>
        <w:tabs>
          <w:tab w:val="left" w:pos="7513"/>
        </w:tabs>
        <w:adjustRightInd w:val="0"/>
        <w:snapToGrid w:val="0"/>
        <w:spacing w:line="560" w:lineRule="exact"/>
        <w:jc w:val="center"/>
        <w:rPr>
          <w:rFonts w:ascii="黑体" w:eastAsia="黑体"/>
          <w:sz w:val="32"/>
          <w:szCs w:val="32"/>
        </w:rPr>
      </w:pPr>
    </w:p>
    <w:p w14:paraId="55EF76A9">
      <w:pPr>
        <w:tabs>
          <w:tab w:val="left" w:pos="7513"/>
        </w:tabs>
        <w:adjustRightInd w:val="0"/>
        <w:snapToGrid w:val="0"/>
        <w:spacing w:line="560" w:lineRule="exact"/>
        <w:jc w:val="center"/>
        <w:rPr>
          <w:rFonts w:ascii="黑体" w:eastAsia="黑体"/>
          <w:sz w:val="32"/>
          <w:szCs w:val="32"/>
        </w:rPr>
      </w:pPr>
    </w:p>
    <w:p w14:paraId="52E4F941">
      <w:pPr>
        <w:tabs>
          <w:tab w:val="left" w:pos="7513"/>
        </w:tabs>
        <w:adjustRightInd w:val="0"/>
        <w:snapToGrid w:val="0"/>
        <w:spacing w:line="560" w:lineRule="exact"/>
        <w:jc w:val="center"/>
        <w:rPr>
          <w:rFonts w:ascii="黑体" w:eastAsia="黑体"/>
          <w:sz w:val="32"/>
          <w:szCs w:val="32"/>
        </w:rPr>
      </w:pPr>
    </w:p>
    <w:p w14:paraId="37B1043D">
      <w:pPr>
        <w:tabs>
          <w:tab w:val="left" w:pos="7513"/>
        </w:tabs>
        <w:adjustRightInd w:val="0"/>
        <w:snapToGrid w:val="0"/>
        <w:spacing w:line="560" w:lineRule="exact"/>
        <w:jc w:val="center"/>
        <w:rPr>
          <w:rFonts w:ascii="黑体" w:eastAsia="黑体"/>
          <w:sz w:val="32"/>
          <w:szCs w:val="32"/>
        </w:rPr>
      </w:pPr>
    </w:p>
    <w:p w14:paraId="3D534590">
      <w:pPr>
        <w:tabs>
          <w:tab w:val="left" w:pos="7513"/>
        </w:tabs>
        <w:adjustRightInd w:val="0"/>
        <w:snapToGrid w:val="0"/>
        <w:spacing w:line="560" w:lineRule="exact"/>
        <w:jc w:val="center"/>
        <w:rPr>
          <w:rFonts w:ascii="黑体" w:eastAsia="黑体"/>
          <w:sz w:val="32"/>
          <w:szCs w:val="32"/>
        </w:rPr>
      </w:pPr>
    </w:p>
    <w:p w14:paraId="68E034BA">
      <w:pPr>
        <w:tabs>
          <w:tab w:val="left" w:pos="7513"/>
        </w:tabs>
        <w:adjustRightInd w:val="0"/>
        <w:snapToGrid w:val="0"/>
        <w:spacing w:line="560" w:lineRule="exact"/>
        <w:jc w:val="center"/>
        <w:rPr>
          <w:rFonts w:ascii="黑体" w:eastAsia="黑体"/>
          <w:sz w:val="32"/>
          <w:szCs w:val="32"/>
        </w:rPr>
      </w:pPr>
    </w:p>
    <w:p w14:paraId="1D76A238">
      <w:pPr>
        <w:tabs>
          <w:tab w:val="left" w:pos="7513"/>
        </w:tabs>
        <w:adjustRightInd w:val="0"/>
        <w:snapToGrid w:val="0"/>
        <w:spacing w:line="560" w:lineRule="exact"/>
        <w:jc w:val="center"/>
        <w:rPr>
          <w:rFonts w:ascii="黑体" w:eastAsia="黑体"/>
          <w:sz w:val="32"/>
          <w:szCs w:val="32"/>
        </w:rPr>
      </w:pPr>
    </w:p>
    <w:p w14:paraId="7AA32856">
      <w:pPr>
        <w:tabs>
          <w:tab w:val="left" w:pos="7513"/>
        </w:tabs>
        <w:adjustRightInd w:val="0"/>
        <w:snapToGrid w:val="0"/>
        <w:spacing w:line="560" w:lineRule="exact"/>
        <w:jc w:val="center"/>
        <w:rPr>
          <w:rFonts w:ascii="黑体" w:eastAsia="黑体"/>
          <w:sz w:val="32"/>
          <w:szCs w:val="32"/>
        </w:rPr>
      </w:pPr>
    </w:p>
    <w:p w14:paraId="29D1E700">
      <w:pPr>
        <w:tabs>
          <w:tab w:val="left" w:pos="7513"/>
        </w:tabs>
        <w:adjustRightInd w:val="0"/>
        <w:snapToGrid w:val="0"/>
        <w:spacing w:line="560" w:lineRule="exact"/>
        <w:jc w:val="center"/>
        <w:rPr>
          <w:rFonts w:ascii="黑体" w:eastAsia="黑体"/>
          <w:sz w:val="32"/>
          <w:szCs w:val="32"/>
        </w:rPr>
      </w:pPr>
    </w:p>
    <w:p w14:paraId="01DD4DD8">
      <w:pPr>
        <w:tabs>
          <w:tab w:val="left" w:pos="7513"/>
        </w:tabs>
        <w:adjustRightInd w:val="0"/>
        <w:snapToGrid w:val="0"/>
        <w:spacing w:line="560" w:lineRule="exact"/>
        <w:jc w:val="center"/>
        <w:rPr>
          <w:rFonts w:ascii="黑体" w:eastAsia="黑体"/>
          <w:sz w:val="32"/>
          <w:szCs w:val="32"/>
        </w:rPr>
      </w:pPr>
    </w:p>
    <w:p w14:paraId="2B049F3C">
      <w:pPr>
        <w:tabs>
          <w:tab w:val="left" w:pos="7513"/>
        </w:tabs>
        <w:adjustRightInd w:val="0"/>
        <w:snapToGrid w:val="0"/>
        <w:spacing w:line="560" w:lineRule="exact"/>
        <w:jc w:val="center"/>
        <w:rPr>
          <w:rFonts w:ascii="黑体" w:eastAsia="黑体"/>
          <w:sz w:val="32"/>
          <w:szCs w:val="32"/>
        </w:rPr>
      </w:pPr>
    </w:p>
    <w:p w14:paraId="3792ABF0">
      <w:pPr>
        <w:tabs>
          <w:tab w:val="left" w:pos="7513"/>
        </w:tabs>
        <w:adjustRightInd w:val="0"/>
        <w:snapToGrid w:val="0"/>
        <w:spacing w:line="560" w:lineRule="exact"/>
        <w:jc w:val="center"/>
        <w:rPr>
          <w:rFonts w:ascii="黑体" w:eastAsia="黑体"/>
          <w:sz w:val="32"/>
          <w:szCs w:val="32"/>
        </w:rPr>
      </w:pPr>
    </w:p>
    <w:p w14:paraId="1A6870F6">
      <w:pPr>
        <w:tabs>
          <w:tab w:val="left" w:pos="7513"/>
        </w:tabs>
        <w:adjustRightInd w:val="0"/>
        <w:snapToGrid w:val="0"/>
        <w:spacing w:line="560" w:lineRule="exact"/>
        <w:jc w:val="center"/>
        <w:rPr>
          <w:rFonts w:ascii="黑体" w:eastAsia="黑体"/>
          <w:sz w:val="32"/>
          <w:szCs w:val="32"/>
        </w:rPr>
      </w:pPr>
    </w:p>
    <w:p w14:paraId="7FA93641">
      <w:pPr>
        <w:tabs>
          <w:tab w:val="left" w:pos="7513"/>
        </w:tabs>
        <w:adjustRightInd w:val="0"/>
        <w:snapToGrid w:val="0"/>
        <w:spacing w:line="560" w:lineRule="exact"/>
        <w:jc w:val="center"/>
        <w:rPr>
          <w:rFonts w:ascii="黑体" w:eastAsia="黑体"/>
          <w:sz w:val="32"/>
          <w:szCs w:val="32"/>
        </w:rPr>
      </w:pPr>
    </w:p>
    <w:p w14:paraId="717D97D3">
      <w:pPr>
        <w:tabs>
          <w:tab w:val="left" w:pos="7513"/>
        </w:tabs>
        <w:adjustRightInd w:val="0"/>
        <w:snapToGrid w:val="0"/>
        <w:spacing w:line="560" w:lineRule="exact"/>
        <w:jc w:val="center"/>
        <w:rPr>
          <w:rFonts w:ascii="黑体" w:eastAsia="黑体"/>
          <w:sz w:val="32"/>
          <w:szCs w:val="32"/>
        </w:rPr>
      </w:pPr>
    </w:p>
    <w:p w14:paraId="22F6F07B">
      <w:pPr>
        <w:tabs>
          <w:tab w:val="left" w:pos="7513"/>
        </w:tabs>
        <w:adjustRightInd w:val="0"/>
        <w:snapToGrid w:val="0"/>
        <w:spacing w:line="560" w:lineRule="exact"/>
        <w:jc w:val="center"/>
        <w:rPr>
          <w:rFonts w:ascii="黑体" w:eastAsia="黑体"/>
          <w:sz w:val="32"/>
          <w:szCs w:val="32"/>
        </w:rPr>
      </w:pPr>
    </w:p>
    <w:p w14:paraId="5B86C180">
      <w:pPr>
        <w:tabs>
          <w:tab w:val="left" w:pos="7513"/>
        </w:tabs>
        <w:adjustRightInd w:val="0"/>
        <w:snapToGrid w:val="0"/>
        <w:spacing w:line="560" w:lineRule="exact"/>
        <w:jc w:val="center"/>
        <w:rPr>
          <w:rFonts w:ascii="黑体" w:eastAsia="黑体"/>
          <w:sz w:val="32"/>
          <w:szCs w:val="32"/>
        </w:rPr>
      </w:pPr>
      <w:r>
        <w:rPr>
          <w:rFonts w:hint="eastAsia" w:ascii="黑体" w:eastAsia="黑体"/>
          <w:sz w:val="32"/>
          <w:szCs w:val="32"/>
        </w:rPr>
        <w:t>第一部分  部门概况</w:t>
      </w:r>
    </w:p>
    <w:p w14:paraId="4B67222F">
      <w:pPr>
        <w:tabs>
          <w:tab w:val="left" w:pos="7513"/>
        </w:tabs>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一、部门主要职责</w:t>
      </w:r>
    </w:p>
    <w:p w14:paraId="1CCA151C">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厦门市发展和改革委员会部门的主要职责是：</w:t>
      </w:r>
    </w:p>
    <w:p w14:paraId="3D08881C">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贯彻执行国家和省关于国民经济和社会发展、经济体制改革和对外开放的法律法规、战略方针和政策；起草并组织实施全市国民经济和社会发展、经济体制改革和对外开放的有关地方性法规、政府规章和政策；组织编制全市主体功能区规划，协调规划实施并进行监测评估；负责拟订并组织实施全市国民经济和社会发展战略、中长期规划和年度计划，提出总量平衡、发展速度和结构调整的预期目标、政策建议；衔接、平衡各主要行业的发展规划；受市政府委托向市人大提交国民经济和社会发展计划的报告。</w:t>
      </w:r>
    </w:p>
    <w:p w14:paraId="37465338">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（二）承担统筹全市经济社会发展的责任；研究分析国内外、省内外经济形势，跟踪和预测全市经济社会发展情况，协调解决经济运行中的重大问题；提出经济社会保持持续健康发展的政策建议。</w:t>
      </w:r>
    </w:p>
    <w:p w14:paraId="12D458D4">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承担指导推进和综合协调全市经济体制改革的职责；研究经济体制改革和对外开放的重大问题；组织拟订全市综合性经济体制改革方案和有关专项方案，参与研究拟订和衔接专项经济体制改革，牵头推进全市深化两岸交流合作综合配套改革，拟订并组织实施行动计划和年度计划，研究重大先行先试政策；参与研究行政管理体制改革和政府职能转变的重大问题；指导行业协会、市场中介机构的改革和发展；研究提出推动非公经济发展和促进多种所有制经济公平竞争、共同发展的政策。</w:t>
      </w:r>
    </w:p>
    <w:p w14:paraId="3AAB1603">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承担固定资产投资综合管理职责，拟订全市全社会固定资产投资总规模和投资结构的调控目标、政策及措施；安排政府投资（包括市本级预算内资金、土地开发基金以及其他财政性资金等）建设资金，指导和监督政策性资金的使用，负责重大建设项目的稽察工作和后评价的管理与协调，鼓励和引导民间投资；负责规划重大建设项目和生产力布局，组织开展市重点项目的前期工作，负责全市重大项目储备库的建立、维护、管理；负责固定资产投资项目的审批、核准、备案，初审上报属于国家、省级审批、核准权限的建设项目；依法指导和协调招投标活动；负责指导工程咨询行业发展。</w:t>
      </w:r>
    </w:p>
    <w:p w14:paraId="304A2FED">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贯彻实施国家和省产业政策，协调产业发展的重大问题；组织拟订全市相关产业发展战略、规划和重大政策措施，负责全市相关产业发展规划和重大政策与国民经济和社会发展规划、计划的衔接平衡，推进经济结构战略性调整；协调农业和农村经济社会发展的重大问题；组织拟订服务业发展战略、规划和重大政策，牵头拟订全市总部经济发展思路、规划布局和政策；组织拟订高技术产业发展、产业技术进步、项目成果转化、战略性新兴产业推进的战略、规划和重大政策，协调解决重大技术装备推广应用等方面的重大问题；牵头拟订交通运输、能源保障总体规划，协调综合运输、能源保障体系建设的重大问题。</w:t>
      </w:r>
    </w:p>
    <w:p w14:paraId="0F6C2BF0">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负责统筹推进新型城镇化、城乡一体化、同城化发展，落实相关发展战略和重大政策，参与空间规划体系建设；会同有关方面研究编制新城开发建设、重大城市基础设施、公共服务发展建设规划；衔接、指导经济社会发展的战略规划和重大政策，促进岛内外一体化发展。</w:t>
      </w:r>
    </w:p>
    <w:p w14:paraId="7B584EB0">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七）研究提出全市间接利用外资和境外投资的战略、规划及总量平衡和结构优化的目标、政策；参与全市外债总量控制、结构优化与监测以及全市国际收支平衡工作；参与全市对外招商项目推介，按规定负责审批、审核利用外资项目和境外投资项目。</w:t>
      </w:r>
    </w:p>
    <w:p w14:paraId="6B8C7178">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（八）承担重要商品总量平衡和宏观调控的责任；根据国内外两个市场与我市有关重要商品的供求情况，调整粮食等重要商品供求的总量与进出口计划；会同有关部门组织市级部分重要商品、战略物资的储备。</w:t>
      </w:r>
    </w:p>
    <w:p w14:paraId="1A0591AA">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九）负责社会发展与国民经济发展的政策衔接，组织拟订全市社会发展战略、总体规划和年度计划，研究提出加快社会事业发展和改革的政策建议；组织拟订基本公共服务均等化体系规划、实施计划和政策措施；研究拟订人口发展战略、中长期规划和年度计划，提出促进我市人口长期均衡发展以及与经济、社会、资源、环境协调可持续发展的政策建议；参与拟订人口和计划生育、科学技术、环境保护、教育、文化、卫生、民政等发展政策，推进社会事业建设；研究提出促进就业、调整收入分配、完善社会保障与经济协调发展的政策建议，协调社会事业发展和改革中的重大问题。 </w:t>
      </w:r>
    </w:p>
    <w:p w14:paraId="06222036">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研究分析经济社会与资源、环境协调发展的重大战略问题，提出推进生态文明建设相关政策建议，促进可持续发展；衔接生态建设、资源节约和环境保护规划，协调生态建设、环境保护、节能减排、发展循环经济的重大问题和项目建设；统筹协调全市应对气候变化和低碳发展工作，研究拟订相关发展规划、实施方案和重大政策。</w:t>
      </w:r>
    </w:p>
    <w:p w14:paraId="7A54F22C">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（十一）组织编制全市国民经济动员规划、计划，研究国民经济动员与国民经济、国防建设的关系，协调相关重大问题；组织实施国民经济动员有关工作。</w:t>
      </w:r>
    </w:p>
    <w:p w14:paraId="4C63656E">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二）负责制定我市价格调控目标，监测分析价格运行情况，进行市场价格预警、预测，提出价格调控建议，并按照市委、市政府指示组织实施；组织我市重要农产品、重要商品和服务的价格成本调查和成本监审工作；依法组织价格听证；依法组织制定和调整市管重要商品价格和重要收费标准；依法征收、管理价格调节基金；监督检查价格政策的执行情况并提出相关建议；依法查处价格违法行为和价格垄断行为；负责指导价格认证中心开展涉案、涉税物品价格的鉴证和评估；做好价格争议调解、信息发布等服务工作；指导、协调政府有关部门和区政府的价格管理工作。</w:t>
      </w:r>
    </w:p>
    <w:p w14:paraId="4772A4B8">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（十三）承办市委、市政府交办的其他事项。</w:t>
      </w:r>
    </w:p>
    <w:p w14:paraId="7FC06F13">
      <w:pPr>
        <w:tabs>
          <w:tab w:val="left" w:pos="7513"/>
        </w:tabs>
        <w:adjustRightInd w:val="0"/>
        <w:snapToGrid w:val="0"/>
        <w:spacing w:line="560" w:lineRule="exact"/>
        <w:ind w:firstLine="640" w:firstLineChars="200"/>
        <w:rPr>
          <w:rFonts w:ascii="黑体" w:eastAsia="黑体"/>
          <w:sz w:val="32"/>
          <w:szCs w:val="32"/>
        </w:rPr>
      </w:pPr>
      <w:r>
        <w:rPr>
          <w:rFonts w:hint="eastAsia" w:ascii="黑体" w:eastAsia="黑体"/>
          <w:sz w:val="32"/>
          <w:szCs w:val="32"/>
        </w:rPr>
        <w:t>二、部门预算单位基本情况</w:t>
      </w:r>
    </w:p>
    <w:p w14:paraId="7F5928AC">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厦门市发展和改革委员会部门</w:t>
      </w:r>
      <w:r>
        <w:rPr>
          <w:rFonts w:hint="eastAsia" w:ascii="仿宋_GB2312" w:eastAsia="仿宋_GB2312"/>
          <w:sz w:val="32"/>
          <w:szCs w:val="32"/>
        </w:rPr>
        <w:t>包括</w:t>
      </w:r>
      <w:r>
        <w:rPr>
          <w:rFonts w:hint="eastAsia" w:ascii="仿宋_GB2312" w:eastAsia="仿宋_GB2312" w:cs="仿宋_GB2312"/>
          <w:sz w:val="32"/>
          <w:szCs w:val="32"/>
        </w:rPr>
        <w:t>23</w:t>
      </w:r>
      <w:r>
        <w:rPr>
          <w:rFonts w:hint="eastAsia" w:ascii="仿宋_GB2312" w:eastAsia="仿宋_GB2312"/>
          <w:sz w:val="32"/>
          <w:szCs w:val="32"/>
        </w:rPr>
        <w:t>个机关行政处室及</w:t>
      </w:r>
      <w:r>
        <w:rPr>
          <w:rFonts w:hint="eastAsia" w:ascii="仿宋_GB2312" w:eastAsia="仿宋_GB2312" w:cs="仿宋_GB2312"/>
          <w:sz w:val="32"/>
          <w:szCs w:val="32"/>
        </w:rPr>
        <w:t>5</w:t>
      </w:r>
      <w:r>
        <w:rPr>
          <w:rFonts w:hint="eastAsia" w:ascii="仿宋_GB2312" w:eastAsia="仿宋_GB2312"/>
          <w:sz w:val="32"/>
          <w:szCs w:val="32"/>
        </w:rPr>
        <w:t>个下属单位，其中：列入</w:t>
      </w:r>
      <w:r>
        <w:rPr>
          <w:rFonts w:hint="eastAsia" w:ascii="仿宋_GB2312" w:eastAsia="仿宋_GB2312" w:cs="仿宋_GB2312"/>
          <w:sz w:val="32"/>
          <w:szCs w:val="32"/>
        </w:rPr>
        <w:t>2019年</w:t>
      </w:r>
      <w:r>
        <w:rPr>
          <w:rFonts w:hint="eastAsia" w:ascii="仿宋_GB2312" w:eastAsia="仿宋_GB2312"/>
          <w:sz w:val="32"/>
          <w:szCs w:val="32"/>
        </w:rPr>
        <w:t>部门预算编制范围的单位详细情况见下表</w:t>
      </w:r>
      <w:r>
        <w:rPr>
          <w:rFonts w:ascii="仿宋_GB2312" w:eastAsia="仿宋_GB2312"/>
          <w:sz w:val="32"/>
          <w:szCs w:val="32"/>
        </w:rPr>
        <w:t>：</w:t>
      </w:r>
    </w:p>
    <w:tbl>
      <w:tblPr>
        <w:tblStyle w:val="5"/>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3420"/>
        <w:gridCol w:w="1620"/>
        <w:gridCol w:w="1620"/>
        <w:gridCol w:w="1635"/>
      </w:tblGrid>
      <w:tr w14:paraId="06F66F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3420" w:type="dxa"/>
            <w:tcBorders>
              <w:top w:val="single" w:color="auto" w:sz="4" w:space="0"/>
              <w:left w:val="single" w:color="auto" w:sz="4" w:space="0"/>
              <w:bottom w:val="single" w:color="auto" w:sz="4" w:space="0"/>
              <w:right w:val="single" w:color="auto" w:sz="4" w:space="0"/>
              <w:tl2br w:val="nil"/>
              <w:tr2bl w:val="nil"/>
            </w:tcBorders>
          </w:tcPr>
          <w:p w14:paraId="0AAF8DF7">
            <w:pPr>
              <w:tabs>
                <w:tab w:val="left" w:pos="7513"/>
              </w:tabs>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单位名称</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40F5C094">
            <w:pPr>
              <w:tabs>
                <w:tab w:val="left" w:pos="7513"/>
              </w:tabs>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经费性质</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7103861C">
            <w:pPr>
              <w:tabs>
                <w:tab w:val="left" w:pos="7513"/>
              </w:tabs>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人员编制数</w:t>
            </w:r>
          </w:p>
        </w:tc>
        <w:tc>
          <w:tcPr>
            <w:tcW w:w="1635" w:type="dxa"/>
            <w:tcBorders>
              <w:top w:val="single" w:color="auto" w:sz="4" w:space="0"/>
              <w:left w:val="single" w:color="auto" w:sz="4" w:space="0"/>
              <w:bottom w:val="single" w:color="auto" w:sz="4" w:space="0"/>
              <w:right w:val="single" w:color="auto" w:sz="4" w:space="0"/>
              <w:tl2br w:val="nil"/>
              <w:tr2bl w:val="nil"/>
            </w:tcBorders>
          </w:tcPr>
          <w:p w14:paraId="1A78B86F">
            <w:pPr>
              <w:tabs>
                <w:tab w:val="left" w:pos="7513"/>
              </w:tabs>
              <w:adjustRightInd w:val="0"/>
              <w:snapToGrid w:val="0"/>
              <w:spacing w:line="560" w:lineRule="exact"/>
              <w:jc w:val="center"/>
              <w:rPr>
                <w:rFonts w:ascii="仿宋_GB2312" w:eastAsia="仿宋_GB2312"/>
                <w:sz w:val="28"/>
                <w:szCs w:val="28"/>
              </w:rPr>
            </w:pPr>
            <w:r>
              <w:rPr>
                <w:rFonts w:hint="eastAsia" w:ascii="仿宋_GB2312" w:eastAsia="仿宋_GB2312"/>
                <w:sz w:val="28"/>
                <w:szCs w:val="28"/>
              </w:rPr>
              <w:t>在职人数</w:t>
            </w:r>
          </w:p>
        </w:tc>
      </w:tr>
      <w:tr w14:paraId="3BDAE8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3420" w:type="dxa"/>
            <w:tcBorders>
              <w:top w:val="single" w:color="auto" w:sz="4" w:space="0"/>
              <w:left w:val="single" w:color="auto" w:sz="4" w:space="0"/>
              <w:bottom w:val="single" w:color="auto" w:sz="4" w:space="0"/>
              <w:right w:val="single" w:color="auto" w:sz="4" w:space="0"/>
              <w:tl2br w:val="nil"/>
              <w:tr2bl w:val="nil"/>
            </w:tcBorders>
          </w:tcPr>
          <w:p w14:paraId="026FC8EC">
            <w:pPr>
              <w:tabs>
                <w:tab w:val="left" w:pos="7513"/>
              </w:tabs>
              <w:adjustRightInd w:val="0"/>
              <w:snapToGrid w:val="0"/>
              <w:spacing w:line="560" w:lineRule="exact"/>
              <w:rPr>
                <w:rFonts w:ascii="仿宋_GB2312" w:eastAsia="仿宋_GB2312"/>
                <w:sz w:val="24"/>
                <w:szCs w:val="32"/>
              </w:rPr>
            </w:pPr>
            <w:r>
              <w:rPr>
                <w:rFonts w:hint="eastAsia" w:ascii="仿宋_GB2312" w:eastAsia="仿宋_GB2312" w:cs="仿宋_GB2312"/>
                <w:sz w:val="24"/>
                <w:szCs w:val="28"/>
              </w:rPr>
              <w:t>厦门市发展和改革委员会机关</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1253469B">
            <w:pPr>
              <w:tabs>
                <w:tab w:val="left" w:pos="7513"/>
              </w:tabs>
              <w:adjustRightInd w:val="0"/>
              <w:snapToGrid w:val="0"/>
              <w:spacing w:line="560" w:lineRule="exact"/>
              <w:jc w:val="center"/>
              <w:rPr>
                <w:rFonts w:ascii="仿宋_GB2312" w:eastAsia="仿宋_GB2312" w:cs="仿宋_GB2312"/>
                <w:sz w:val="24"/>
                <w:szCs w:val="28"/>
              </w:rPr>
            </w:pPr>
            <w:r>
              <w:rPr>
                <w:rFonts w:hint="eastAsia" w:ascii="仿宋_GB2312" w:eastAsia="仿宋_GB2312" w:cs="仿宋_GB2312"/>
                <w:sz w:val="24"/>
                <w:szCs w:val="28"/>
              </w:rPr>
              <w:t>财政拨款</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365B06AC">
            <w:pPr>
              <w:tabs>
                <w:tab w:val="left" w:pos="7513"/>
              </w:tabs>
              <w:adjustRightInd w:val="0"/>
              <w:snapToGrid w:val="0"/>
              <w:spacing w:line="560" w:lineRule="exact"/>
              <w:jc w:val="center"/>
              <w:rPr>
                <w:rFonts w:ascii="仿宋_GB2312" w:eastAsia="仿宋_GB2312"/>
                <w:sz w:val="24"/>
                <w:szCs w:val="32"/>
              </w:rPr>
            </w:pPr>
            <w:r>
              <w:rPr>
                <w:rFonts w:ascii="仿宋_GB2312" w:eastAsia="仿宋_GB2312"/>
                <w:sz w:val="24"/>
                <w:szCs w:val="32"/>
              </w:rPr>
              <w:t>86</w:t>
            </w:r>
          </w:p>
        </w:tc>
        <w:tc>
          <w:tcPr>
            <w:tcW w:w="1635" w:type="dxa"/>
            <w:tcBorders>
              <w:top w:val="single" w:color="auto" w:sz="4" w:space="0"/>
              <w:left w:val="single" w:color="auto" w:sz="4" w:space="0"/>
              <w:bottom w:val="single" w:color="auto" w:sz="4" w:space="0"/>
              <w:right w:val="single" w:color="auto" w:sz="4" w:space="0"/>
              <w:tl2br w:val="nil"/>
              <w:tr2bl w:val="nil"/>
            </w:tcBorders>
          </w:tcPr>
          <w:p w14:paraId="6EBB0FF5">
            <w:pPr>
              <w:tabs>
                <w:tab w:val="left" w:pos="7513"/>
              </w:tabs>
              <w:adjustRightInd w:val="0"/>
              <w:snapToGrid w:val="0"/>
              <w:spacing w:line="560" w:lineRule="exact"/>
              <w:jc w:val="center"/>
              <w:rPr>
                <w:rFonts w:ascii="仿宋_GB2312" w:eastAsia="仿宋_GB2312"/>
                <w:sz w:val="24"/>
                <w:szCs w:val="32"/>
              </w:rPr>
            </w:pPr>
            <w:r>
              <w:rPr>
                <w:rFonts w:ascii="仿宋_GB2312" w:eastAsia="仿宋_GB2312"/>
                <w:sz w:val="24"/>
                <w:szCs w:val="32"/>
              </w:rPr>
              <w:t>84</w:t>
            </w:r>
          </w:p>
        </w:tc>
      </w:tr>
      <w:tr w14:paraId="63D5400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3420" w:type="dxa"/>
            <w:tcBorders>
              <w:top w:val="single" w:color="auto" w:sz="4" w:space="0"/>
              <w:left w:val="single" w:color="auto" w:sz="4" w:space="0"/>
              <w:bottom w:val="single" w:color="auto" w:sz="4" w:space="0"/>
              <w:right w:val="single" w:color="auto" w:sz="4" w:space="0"/>
              <w:tl2br w:val="nil"/>
              <w:tr2bl w:val="nil"/>
            </w:tcBorders>
          </w:tcPr>
          <w:p w14:paraId="090A4FF0">
            <w:pPr>
              <w:tabs>
                <w:tab w:val="left" w:pos="7513"/>
              </w:tabs>
              <w:adjustRightInd w:val="0"/>
              <w:snapToGrid w:val="0"/>
              <w:spacing w:line="560" w:lineRule="exact"/>
              <w:rPr>
                <w:rFonts w:ascii="仿宋_GB2312" w:eastAsia="仿宋_GB2312"/>
                <w:sz w:val="24"/>
                <w:szCs w:val="32"/>
              </w:rPr>
            </w:pPr>
            <w:r>
              <w:rPr>
                <w:rFonts w:hint="eastAsia" w:ascii="仿宋_GB2312" w:eastAsia="仿宋_GB2312"/>
                <w:sz w:val="24"/>
                <w:szCs w:val="28"/>
              </w:rPr>
              <w:t>厦门市发改委价格监督检查与反垄断局（含市发改委价格监测和成本监审局）</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5E74C139">
            <w:pPr>
              <w:tabs>
                <w:tab w:val="left" w:pos="7513"/>
              </w:tabs>
              <w:adjustRightInd w:val="0"/>
              <w:snapToGrid w:val="0"/>
              <w:spacing w:line="560" w:lineRule="exact"/>
              <w:jc w:val="center"/>
              <w:rPr>
                <w:rFonts w:ascii="仿宋_GB2312" w:eastAsia="仿宋_GB2312" w:cs="仿宋_GB2312"/>
                <w:sz w:val="24"/>
                <w:szCs w:val="28"/>
              </w:rPr>
            </w:pPr>
            <w:r>
              <w:rPr>
                <w:rFonts w:hint="eastAsia" w:ascii="仿宋_GB2312" w:eastAsia="仿宋_GB2312" w:cs="仿宋_GB2312"/>
                <w:sz w:val="24"/>
                <w:szCs w:val="28"/>
              </w:rPr>
              <w:t>财政拨款</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6084C94F">
            <w:pPr>
              <w:tabs>
                <w:tab w:val="left" w:pos="7513"/>
              </w:tabs>
              <w:adjustRightInd w:val="0"/>
              <w:snapToGrid w:val="0"/>
              <w:spacing w:line="560" w:lineRule="exact"/>
              <w:jc w:val="center"/>
              <w:rPr>
                <w:rFonts w:ascii="仿宋_GB2312" w:eastAsia="仿宋_GB2312"/>
                <w:sz w:val="24"/>
                <w:szCs w:val="32"/>
              </w:rPr>
            </w:pPr>
            <w:r>
              <w:rPr>
                <w:rFonts w:ascii="仿宋_GB2312" w:eastAsia="仿宋_GB2312"/>
                <w:sz w:val="24"/>
                <w:szCs w:val="32"/>
              </w:rPr>
              <w:t>43</w:t>
            </w:r>
          </w:p>
        </w:tc>
        <w:tc>
          <w:tcPr>
            <w:tcW w:w="1635" w:type="dxa"/>
            <w:tcBorders>
              <w:top w:val="single" w:color="auto" w:sz="4" w:space="0"/>
              <w:left w:val="single" w:color="auto" w:sz="4" w:space="0"/>
              <w:bottom w:val="single" w:color="auto" w:sz="4" w:space="0"/>
              <w:right w:val="single" w:color="auto" w:sz="4" w:space="0"/>
              <w:tl2br w:val="nil"/>
              <w:tr2bl w:val="nil"/>
            </w:tcBorders>
          </w:tcPr>
          <w:p w14:paraId="6FCE35BC">
            <w:pPr>
              <w:tabs>
                <w:tab w:val="left" w:pos="7513"/>
              </w:tabs>
              <w:adjustRightInd w:val="0"/>
              <w:snapToGrid w:val="0"/>
              <w:spacing w:line="560" w:lineRule="exact"/>
              <w:jc w:val="center"/>
              <w:rPr>
                <w:rFonts w:ascii="仿宋_GB2312" w:eastAsia="仿宋_GB2312"/>
                <w:sz w:val="24"/>
                <w:szCs w:val="32"/>
              </w:rPr>
            </w:pPr>
            <w:r>
              <w:rPr>
                <w:rFonts w:ascii="仿宋_GB2312" w:eastAsia="仿宋_GB2312"/>
                <w:sz w:val="24"/>
                <w:szCs w:val="32"/>
              </w:rPr>
              <w:t>41</w:t>
            </w:r>
          </w:p>
        </w:tc>
      </w:tr>
      <w:tr w14:paraId="0FFA0F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3420" w:type="dxa"/>
            <w:tcBorders>
              <w:top w:val="single" w:color="auto" w:sz="4" w:space="0"/>
              <w:left w:val="single" w:color="auto" w:sz="4" w:space="0"/>
              <w:bottom w:val="single" w:color="auto" w:sz="4" w:space="0"/>
              <w:right w:val="single" w:color="auto" w:sz="4" w:space="0"/>
              <w:tl2br w:val="nil"/>
              <w:tr2bl w:val="nil"/>
            </w:tcBorders>
          </w:tcPr>
          <w:p w14:paraId="1D771745">
            <w:pPr>
              <w:tabs>
                <w:tab w:val="left" w:pos="7513"/>
              </w:tabs>
              <w:adjustRightInd w:val="0"/>
              <w:snapToGrid w:val="0"/>
              <w:spacing w:line="560" w:lineRule="exact"/>
              <w:rPr>
                <w:rFonts w:ascii="仿宋_GB2312" w:eastAsia="仿宋_GB2312"/>
                <w:sz w:val="24"/>
                <w:szCs w:val="32"/>
              </w:rPr>
            </w:pPr>
            <w:r>
              <w:rPr>
                <w:rFonts w:hint="eastAsia" w:ascii="仿宋_GB2312" w:eastAsia="仿宋_GB2312"/>
                <w:sz w:val="24"/>
                <w:szCs w:val="28"/>
              </w:rPr>
              <w:t>厦门市政府投资项目评审中心</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32D50141">
            <w:pPr>
              <w:tabs>
                <w:tab w:val="left" w:pos="7513"/>
              </w:tabs>
              <w:adjustRightInd w:val="0"/>
              <w:snapToGrid w:val="0"/>
              <w:spacing w:line="560" w:lineRule="exact"/>
              <w:jc w:val="center"/>
              <w:rPr>
                <w:rFonts w:ascii="仿宋_GB2312" w:eastAsia="仿宋_GB2312" w:cs="仿宋_GB2312"/>
                <w:sz w:val="24"/>
                <w:szCs w:val="28"/>
              </w:rPr>
            </w:pPr>
            <w:r>
              <w:rPr>
                <w:rFonts w:hint="eastAsia" w:ascii="仿宋_GB2312" w:eastAsia="仿宋_GB2312" w:cs="仿宋_GB2312"/>
                <w:sz w:val="24"/>
                <w:szCs w:val="28"/>
              </w:rPr>
              <w:t>财政拨款</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45BB7388">
            <w:pPr>
              <w:tabs>
                <w:tab w:val="left" w:pos="7513"/>
              </w:tabs>
              <w:adjustRightInd w:val="0"/>
              <w:snapToGrid w:val="0"/>
              <w:spacing w:line="560" w:lineRule="exact"/>
              <w:jc w:val="center"/>
              <w:rPr>
                <w:rFonts w:ascii="仿宋_GB2312" w:eastAsia="仿宋_GB2312"/>
                <w:sz w:val="24"/>
                <w:szCs w:val="32"/>
              </w:rPr>
            </w:pPr>
            <w:r>
              <w:rPr>
                <w:rFonts w:hint="eastAsia" w:ascii="仿宋_GB2312" w:eastAsia="仿宋_GB2312"/>
                <w:sz w:val="24"/>
                <w:szCs w:val="32"/>
              </w:rPr>
              <w:t>62</w:t>
            </w:r>
          </w:p>
        </w:tc>
        <w:tc>
          <w:tcPr>
            <w:tcW w:w="1635" w:type="dxa"/>
            <w:tcBorders>
              <w:top w:val="single" w:color="auto" w:sz="4" w:space="0"/>
              <w:left w:val="single" w:color="auto" w:sz="4" w:space="0"/>
              <w:bottom w:val="single" w:color="auto" w:sz="4" w:space="0"/>
              <w:right w:val="single" w:color="auto" w:sz="4" w:space="0"/>
              <w:tl2br w:val="nil"/>
              <w:tr2bl w:val="nil"/>
            </w:tcBorders>
          </w:tcPr>
          <w:p w14:paraId="77B1F79D">
            <w:pPr>
              <w:tabs>
                <w:tab w:val="left" w:pos="7513"/>
              </w:tabs>
              <w:adjustRightInd w:val="0"/>
              <w:snapToGrid w:val="0"/>
              <w:spacing w:line="560" w:lineRule="exact"/>
              <w:jc w:val="center"/>
              <w:rPr>
                <w:rFonts w:ascii="仿宋_GB2312" w:eastAsia="仿宋_GB2312"/>
                <w:sz w:val="24"/>
                <w:szCs w:val="32"/>
              </w:rPr>
            </w:pPr>
            <w:r>
              <w:rPr>
                <w:rFonts w:ascii="仿宋_GB2312" w:eastAsia="仿宋_GB2312"/>
                <w:sz w:val="24"/>
                <w:szCs w:val="32"/>
              </w:rPr>
              <w:t>53</w:t>
            </w:r>
          </w:p>
        </w:tc>
      </w:tr>
      <w:tr w14:paraId="766698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3420" w:type="dxa"/>
            <w:tcBorders>
              <w:top w:val="single" w:color="auto" w:sz="4" w:space="0"/>
              <w:left w:val="single" w:color="auto" w:sz="4" w:space="0"/>
              <w:bottom w:val="single" w:color="auto" w:sz="4" w:space="0"/>
              <w:right w:val="single" w:color="auto" w:sz="4" w:space="0"/>
              <w:tl2br w:val="nil"/>
              <w:tr2bl w:val="nil"/>
            </w:tcBorders>
          </w:tcPr>
          <w:p w14:paraId="37859827">
            <w:pPr>
              <w:tabs>
                <w:tab w:val="left" w:pos="7513"/>
              </w:tabs>
              <w:adjustRightInd w:val="0"/>
              <w:snapToGrid w:val="0"/>
              <w:spacing w:line="560" w:lineRule="exact"/>
              <w:rPr>
                <w:rFonts w:ascii="仿宋_GB2312" w:eastAsia="仿宋_GB2312"/>
                <w:sz w:val="24"/>
                <w:szCs w:val="32"/>
              </w:rPr>
            </w:pPr>
            <w:r>
              <w:rPr>
                <w:rFonts w:hint="eastAsia" w:ascii="仿宋_GB2312" w:eastAsia="仿宋_GB2312"/>
                <w:sz w:val="24"/>
                <w:szCs w:val="28"/>
              </w:rPr>
              <w:t>厦门市发展研究中心</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745260BD">
            <w:pPr>
              <w:tabs>
                <w:tab w:val="left" w:pos="7513"/>
              </w:tabs>
              <w:adjustRightInd w:val="0"/>
              <w:snapToGrid w:val="0"/>
              <w:spacing w:line="560" w:lineRule="exact"/>
              <w:jc w:val="center"/>
              <w:rPr>
                <w:rFonts w:ascii="仿宋_GB2312" w:eastAsia="仿宋_GB2312" w:cs="仿宋_GB2312"/>
                <w:sz w:val="24"/>
                <w:szCs w:val="28"/>
              </w:rPr>
            </w:pPr>
            <w:r>
              <w:rPr>
                <w:rFonts w:hint="eastAsia" w:ascii="仿宋_GB2312" w:eastAsia="仿宋_GB2312" w:cs="仿宋_GB2312"/>
                <w:sz w:val="24"/>
                <w:szCs w:val="28"/>
              </w:rPr>
              <w:t>财政拨款</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19FA5406">
            <w:pPr>
              <w:tabs>
                <w:tab w:val="left" w:pos="7513"/>
              </w:tabs>
              <w:adjustRightInd w:val="0"/>
              <w:snapToGrid w:val="0"/>
              <w:spacing w:line="560" w:lineRule="exact"/>
              <w:jc w:val="center"/>
              <w:rPr>
                <w:rFonts w:ascii="仿宋_GB2312" w:eastAsia="仿宋_GB2312"/>
                <w:sz w:val="24"/>
                <w:szCs w:val="32"/>
              </w:rPr>
            </w:pPr>
            <w:r>
              <w:rPr>
                <w:rFonts w:hint="eastAsia" w:ascii="仿宋_GB2312" w:eastAsia="仿宋_GB2312"/>
                <w:sz w:val="24"/>
                <w:szCs w:val="32"/>
              </w:rPr>
              <w:t>38</w:t>
            </w:r>
          </w:p>
        </w:tc>
        <w:tc>
          <w:tcPr>
            <w:tcW w:w="1635" w:type="dxa"/>
            <w:tcBorders>
              <w:top w:val="single" w:color="auto" w:sz="4" w:space="0"/>
              <w:left w:val="single" w:color="auto" w:sz="4" w:space="0"/>
              <w:bottom w:val="single" w:color="auto" w:sz="4" w:space="0"/>
              <w:right w:val="single" w:color="auto" w:sz="4" w:space="0"/>
              <w:tl2br w:val="nil"/>
              <w:tr2bl w:val="nil"/>
            </w:tcBorders>
          </w:tcPr>
          <w:p w14:paraId="46C9B903">
            <w:pPr>
              <w:tabs>
                <w:tab w:val="left" w:pos="7513"/>
              </w:tabs>
              <w:adjustRightInd w:val="0"/>
              <w:snapToGrid w:val="0"/>
              <w:spacing w:line="560" w:lineRule="exact"/>
              <w:jc w:val="center"/>
              <w:rPr>
                <w:rFonts w:ascii="仿宋_GB2312" w:eastAsia="仿宋_GB2312"/>
                <w:sz w:val="24"/>
                <w:szCs w:val="32"/>
              </w:rPr>
            </w:pPr>
            <w:r>
              <w:rPr>
                <w:rFonts w:ascii="仿宋_GB2312" w:eastAsia="仿宋_GB2312"/>
                <w:sz w:val="24"/>
                <w:szCs w:val="32"/>
              </w:rPr>
              <w:t>36</w:t>
            </w:r>
          </w:p>
        </w:tc>
      </w:tr>
      <w:tr w14:paraId="1B184A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3420" w:type="dxa"/>
            <w:tcBorders>
              <w:top w:val="single" w:color="auto" w:sz="4" w:space="0"/>
              <w:left w:val="single" w:color="auto" w:sz="4" w:space="0"/>
              <w:bottom w:val="single" w:color="auto" w:sz="4" w:space="0"/>
              <w:right w:val="single" w:color="auto" w:sz="4" w:space="0"/>
              <w:tl2br w:val="nil"/>
              <w:tr2bl w:val="nil"/>
            </w:tcBorders>
          </w:tcPr>
          <w:p w14:paraId="6141F9F0">
            <w:pPr>
              <w:tabs>
                <w:tab w:val="left" w:pos="7513"/>
              </w:tabs>
              <w:adjustRightInd w:val="0"/>
              <w:snapToGrid w:val="0"/>
              <w:spacing w:line="560" w:lineRule="exact"/>
              <w:rPr>
                <w:rFonts w:ascii="仿宋_GB2312" w:eastAsia="仿宋_GB2312"/>
                <w:sz w:val="24"/>
                <w:szCs w:val="32"/>
              </w:rPr>
            </w:pPr>
            <w:r>
              <w:rPr>
                <w:rFonts w:hint="eastAsia" w:ascii="仿宋_GB2312" w:eastAsia="仿宋_GB2312"/>
                <w:sz w:val="24"/>
                <w:szCs w:val="28"/>
              </w:rPr>
              <w:t>厦门市价格认证中心</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61521F75">
            <w:pPr>
              <w:tabs>
                <w:tab w:val="left" w:pos="7513"/>
              </w:tabs>
              <w:adjustRightInd w:val="0"/>
              <w:snapToGrid w:val="0"/>
              <w:spacing w:line="560" w:lineRule="exact"/>
              <w:jc w:val="center"/>
              <w:rPr>
                <w:rFonts w:ascii="仿宋_GB2312" w:eastAsia="仿宋_GB2312" w:cs="仿宋_GB2312"/>
                <w:sz w:val="24"/>
                <w:szCs w:val="28"/>
              </w:rPr>
            </w:pPr>
            <w:r>
              <w:rPr>
                <w:rFonts w:hint="eastAsia" w:ascii="仿宋_GB2312" w:eastAsia="仿宋_GB2312" w:cs="仿宋_GB2312"/>
                <w:sz w:val="24"/>
                <w:szCs w:val="28"/>
              </w:rPr>
              <w:t>财政拨款</w:t>
            </w:r>
          </w:p>
        </w:tc>
        <w:tc>
          <w:tcPr>
            <w:tcW w:w="1620" w:type="dxa"/>
            <w:tcBorders>
              <w:top w:val="single" w:color="auto" w:sz="4" w:space="0"/>
              <w:left w:val="single" w:color="auto" w:sz="4" w:space="0"/>
              <w:bottom w:val="single" w:color="auto" w:sz="4" w:space="0"/>
              <w:right w:val="single" w:color="auto" w:sz="4" w:space="0"/>
              <w:tl2br w:val="nil"/>
              <w:tr2bl w:val="nil"/>
            </w:tcBorders>
          </w:tcPr>
          <w:p w14:paraId="7009B490">
            <w:pPr>
              <w:tabs>
                <w:tab w:val="left" w:pos="7513"/>
              </w:tabs>
              <w:adjustRightInd w:val="0"/>
              <w:snapToGrid w:val="0"/>
              <w:spacing w:line="560" w:lineRule="exact"/>
              <w:jc w:val="center"/>
              <w:rPr>
                <w:rFonts w:ascii="仿宋_GB2312" w:eastAsia="仿宋_GB2312"/>
                <w:sz w:val="24"/>
                <w:szCs w:val="32"/>
              </w:rPr>
            </w:pPr>
            <w:r>
              <w:rPr>
                <w:rFonts w:ascii="仿宋_GB2312" w:eastAsia="仿宋_GB2312"/>
                <w:sz w:val="24"/>
                <w:szCs w:val="32"/>
              </w:rPr>
              <w:t>17</w:t>
            </w:r>
          </w:p>
        </w:tc>
        <w:tc>
          <w:tcPr>
            <w:tcW w:w="1635" w:type="dxa"/>
            <w:tcBorders>
              <w:top w:val="single" w:color="auto" w:sz="4" w:space="0"/>
              <w:left w:val="single" w:color="auto" w:sz="4" w:space="0"/>
              <w:bottom w:val="single" w:color="auto" w:sz="4" w:space="0"/>
              <w:right w:val="single" w:color="auto" w:sz="4" w:space="0"/>
              <w:tl2br w:val="nil"/>
              <w:tr2bl w:val="nil"/>
            </w:tcBorders>
          </w:tcPr>
          <w:p w14:paraId="76F1AF38">
            <w:pPr>
              <w:tabs>
                <w:tab w:val="left" w:pos="7513"/>
              </w:tabs>
              <w:adjustRightInd w:val="0"/>
              <w:snapToGrid w:val="0"/>
              <w:spacing w:line="560" w:lineRule="exact"/>
              <w:jc w:val="center"/>
              <w:rPr>
                <w:rFonts w:ascii="仿宋_GB2312" w:eastAsia="仿宋_GB2312"/>
                <w:sz w:val="24"/>
                <w:szCs w:val="32"/>
              </w:rPr>
            </w:pPr>
            <w:r>
              <w:rPr>
                <w:rFonts w:ascii="仿宋_GB2312" w:eastAsia="仿宋_GB2312"/>
                <w:sz w:val="24"/>
                <w:szCs w:val="32"/>
              </w:rPr>
              <w:t>17</w:t>
            </w:r>
          </w:p>
        </w:tc>
      </w:tr>
    </w:tbl>
    <w:p w14:paraId="12597FF3">
      <w:pPr>
        <w:tabs>
          <w:tab w:val="left" w:pos="7513"/>
        </w:tabs>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三、部门主要工作任务</w:t>
      </w:r>
    </w:p>
    <w:p w14:paraId="7A21F06E">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2019年，市发改委部门主要任务是：牢固树立“四个意识”，坚定“四个自信”，坚决做到“两个维护”，切实把思想统一到中央对经济形势的分析判断上来，把行动统一到中央、省、市的决策部署上来，在发展改革工作中着重在五个方面发力。围绕上述任务，重点抓好以下工作：</w:t>
      </w:r>
    </w:p>
    <w:p w14:paraId="2E674CE2">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（一）着力谋大事议大事，做好形势研判和经济运行协调</w:t>
      </w:r>
    </w:p>
    <w:p w14:paraId="149340B3">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1.加强经济形势分析研判和重大政策研究储备。</w:t>
      </w:r>
    </w:p>
    <w:p w14:paraId="5174F055">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2.加强经济运行综合协调，确保经济运行保持在合理区间。</w:t>
      </w:r>
    </w:p>
    <w:p w14:paraId="08347B68">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3.按照市委市政府工作部署，做好有关综合性工作。</w:t>
      </w:r>
    </w:p>
    <w:p w14:paraId="2B9CB7DA">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（二）着力实体经济，做大做强千亿产业链群</w:t>
      </w:r>
    </w:p>
    <w:p w14:paraId="5C7C0139">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实施新一轮产业链拓展工程。</w:t>
      </w:r>
    </w:p>
    <w:p w14:paraId="5D5CCA97">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2.优化存量拓展增量。</w:t>
      </w:r>
    </w:p>
    <w:p w14:paraId="47C80CB7">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3.积极拓展产业发展空间。</w:t>
      </w:r>
    </w:p>
    <w:p w14:paraId="40C7522C">
      <w:pPr>
        <w:tabs>
          <w:tab w:val="left" w:pos="7513"/>
        </w:tabs>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sz w:val="32"/>
          <w:szCs w:val="32"/>
        </w:rPr>
        <w:t>（三）着力有效投资，扎实推进千亿投资工程</w:t>
      </w:r>
    </w:p>
    <w:p w14:paraId="1778E2D9">
      <w:pPr>
        <w:tabs>
          <w:tab w:val="left" w:pos="7513"/>
        </w:tabs>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1.稳定投资基本盘。</w:t>
      </w:r>
    </w:p>
    <w:p w14:paraId="468B393D">
      <w:pPr>
        <w:tabs>
          <w:tab w:val="left" w:pos="7513"/>
        </w:tabs>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2.深入挖掘投资潜力。</w:t>
      </w:r>
    </w:p>
    <w:p w14:paraId="428B65EA">
      <w:pPr>
        <w:tabs>
          <w:tab w:val="left" w:pos="7513"/>
        </w:tabs>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3.强化重大项目带动。</w:t>
      </w:r>
    </w:p>
    <w:p w14:paraId="6545E944">
      <w:pPr>
        <w:tabs>
          <w:tab w:val="left" w:pos="7513"/>
        </w:tabs>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4.强化要素保障。</w:t>
      </w:r>
    </w:p>
    <w:p w14:paraId="3CE5AB07">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（四）着力示范引领，持续深化改革扩大开放</w:t>
      </w:r>
    </w:p>
    <w:p w14:paraId="5C6DA5ED">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1.统筹推进供给侧结构性改革。</w:t>
      </w:r>
    </w:p>
    <w:p w14:paraId="320B8233">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2.全面落实“一带一路”倡议。</w:t>
      </w:r>
    </w:p>
    <w:p w14:paraId="48653971">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3.持续打造国际一流营商环境。</w:t>
      </w:r>
    </w:p>
    <w:p w14:paraId="703FED0E">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4.全面加快社会信用体系建设。</w:t>
      </w:r>
    </w:p>
    <w:p w14:paraId="0F183581">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5.深化综合配套改革。</w:t>
      </w:r>
    </w:p>
    <w:p w14:paraId="4E38A137">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6.深化投融资体制改革。</w:t>
      </w:r>
    </w:p>
    <w:p w14:paraId="51439C6C">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7.持续推动价格领域改革。</w:t>
      </w:r>
    </w:p>
    <w:p w14:paraId="2180DE85">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（五）着力协调发展，加快推进闽西南协同区建设和城乡统筹发展</w:t>
      </w:r>
    </w:p>
    <w:p w14:paraId="04FEAB2A">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1.加快闽西南协同发展区建设。</w:t>
      </w:r>
    </w:p>
    <w:p w14:paraId="78F7845A">
      <w:pPr>
        <w:tabs>
          <w:tab w:val="left" w:pos="7513"/>
        </w:tabs>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sz w:val="32"/>
          <w:szCs w:val="32"/>
        </w:rPr>
        <w:t>2.持续推进新型城镇化建设。</w:t>
      </w:r>
    </w:p>
    <w:p w14:paraId="4C29B2C8">
      <w:pPr>
        <w:tabs>
          <w:tab w:val="left" w:pos="7513"/>
        </w:tabs>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3.扎实推进实施乡村振兴战略。</w:t>
      </w:r>
    </w:p>
    <w:p w14:paraId="3539EEB7">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4.持续推动军民深度融合。</w:t>
      </w:r>
    </w:p>
    <w:p w14:paraId="4DE53FB4">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（六）着力共享发展，加快补齐民生短板</w:t>
      </w:r>
    </w:p>
    <w:p w14:paraId="2DDB7910">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1.教育领域：持续推进优质资源均衡跨岛发展，加快补齐教育短板。</w:t>
      </w:r>
    </w:p>
    <w:p w14:paraId="620CDCA1">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2.医疗卫生领域：推动医疗资源供给质量提升，持续提升医疗水平。</w:t>
      </w:r>
    </w:p>
    <w:p w14:paraId="3FECCBC5">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3.养老领域：着力推动资源下沉，不断提升养老服务水平。</w:t>
      </w:r>
    </w:p>
    <w:p w14:paraId="7F6C123C">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4.公共文体服务领域：加快推动文化体育资源向基层社区和岛外产业园区倾斜。</w:t>
      </w:r>
    </w:p>
    <w:p w14:paraId="39659C5F">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（七）着力绿色发展，打造高颜值的生态花园之城</w:t>
      </w:r>
    </w:p>
    <w:p w14:paraId="28285AC5">
      <w:pPr>
        <w:tabs>
          <w:tab w:val="left" w:pos="7513"/>
        </w:tabs>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推进生态环保基础设施建设。</w:t>
      </w:r>
    </w:p>
    <w:p w14:paraId="16DABBB1">
      <w:pPr>
        <w:tabs>
          <w:tab w:val="left" w:pos="7513"/>
        </w:tabs>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2.纵深推进国家生态文明试验区建设。</w:t>
      </w:r>
    </w:p>
    <w:p w14:paraId="1BC8E440">
      <w:pPr>
        <w:tabs>
          <w:tab w:val="left" w:pos="7513"/>
        </w:tabs>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3.持续推进低碳城市建设。</w:t>
      </w:r>
    </w:p>
    <w:p w14:paraId="01ADE2A8">
      <w:pPr>
        <w:tabs>
          <w:tab w:val="left" w:pos="7513"/>
        </w:tabs>
        <w:adjustRightInd w:val="0"/>
        <w:snapToGri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sz w:val="32"/>
          <w:szCs w:val="32"/>
        </w:rPr>
        <w:t>（八）</w:t>
      </w:r>
      <w:r>
        <w:rPr>
          <w:rFonts w:hint="eastAsia" w:ascii="仿宋_GB2312" w:eastAsia="仿宋_GB2312" w:cs="仿宋_GB2312"/>
          <w:kern w:val="0"/>
          <w:sz w:val="32"/>
          <w:szCs w:val="32"/>
        </w:rPr>
        <w:t>敢于担当，勇挑重担，全面加强发展改革系统队伍建设</w:t>
      </w:r>
    </w:p>
    <w:p w14:paraId="0AFDCCF2">
      <w:pPr>
        <w:tabs>
          <w:tab w:val="left" w:pos="7513"/>
        </w:tabs>
        <w:adjustRightInd w:val="0"/>
        <w:snapToGrid w:val="0"/>
        <w:spacing w:line="560" w:lineRule="exact"/>
        <w:jc w:val="center"/>
        <w:rPr>
          <w:rFonts w:ascii="仿宋_GB2312" w:eastAsia="仿宋_GB2312" w:cs="仿宋_GB2312"/>
          <w:sz w:val="32"/>
          <w:szCs w:val="32"/>
        </w:rPr>
      </w:pPr>
      <w:r>
        <w:rPr>
          <w:rFonts w:hint="eastAsia" w:ascii="黑体" w:eastAsia="黑体"/>
          <w:sz w:val="32"/>
          <w:szCs w:val="32"/>
        </w:rPr>
        <w:t>第二部分  2019年部门预算说明</w:t>
      </w:r>
    </w:p>
    <w:p w14:paraId="35DFC74C">
      <w:pPr>
        <w:tabs>
          <w:tab w:val="left" w:pos="7513"/>
        </w:tabs>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一、2019年部门预算收支总体情况</w:t>
      </w:r>
    </w:p>
    <w:p w14:paraId="0333589B">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根据预算管理的有关规定，部门的全部收入和支出均纳入部门预算管理。</w:t>
      </w:r>
    </w:p>
    <w:p w14:paraId="7E2A48D5">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sz w:val="32"/>
          <w:szCs w:val="32"/>
        </w:rPr>
        <w:t>（一）</w:t>
      </w:r>
      <w:r>
        <w:rPr>
          <w:rFonts w:ascii="仿宋_GB2312" w:eastAsia="仿宋_GB2312"/>
          <w:sz w:val="32"/>
          <w:szCs w:val="32"/>
        </w:rPr>
        <w:t>市</w:t>
      </w:r>
      <w:r>
        <w:rPr>
          <w:rFonts w:ascii="仿宋_GB2312" w:eastAsia="仿宋_GB2312" w:cs="仿宋_GB2312"/>
          <w:sz w:val="32"/>
          <w:szCs w:val="32"/>
        </w:rPr>
        <w:t>发改委</w:t>
      </w:r>
      <w:r>
        <w:rPr>
          <w:rFonts w:hint="eastAsia" w:ascii="仿宋_GB2312" w:eastAsia="仿宋_GB2312"/>
          <w:sz w:val="32"/>
          <w:szCs w:val="32"/>
        </w:rPr>
        <w:t>部门2019年收入预算为</w:t>
      </w:r>
      <w:r>
        <w:rPr>
          <w:rFonts w:ascii="仿宋_GB2312" w:eastAsia="仿宋_GB2312" w:cs="仿宋_GB2312"/>
          <w:sz w:val="32"/>
          <w:szCs w:val="32"/>
        </w:rPr>
        <w:t>24240.41</w:t>
      </w:r>
      <w:r>
        <w:rPr>
          <w:rFonts w:hint="eastAsia" w:ascii="仿宋_GB2312" w:eastAsia="仿宋_GB2312"/>
          <w:sz w:val="32"/>
          <w:szCs w:val="32"/>
        </w:rPr>
        <w:t>万元，</w:t>
      </w:r>
      <w:r>
        <w:rPr>
          <w:rFonts w:hint="eastAsia" w:ascii="仿宋_GB2312" w:eastAsia="仿宋_GB2312" w:cs="仿宋_GB2312"/>
          <w:sz w:val="32"/>
          <w:szCs w:val="32"/>
        </w:rPr>
        <w:t>比201</w:t>
      </w:r>
      <w:r>
        <w:rPr>
          <w:rFonts w:ascii="仿宋_GB2312" w:eastAsia="仿宋_GB2312" w:cs="仿宋_GB2312"/>
          <w:sz w:val="32"/>
          <w:szCs w:val="32"/>
        </w:rPr>
        <w:t>8</w:t>
      </w:r>
      <w:r>
        <w:rPr>
          <w:rFonts w:hint="eastAsia" w:ascii="仿宋_GB2312" w:eastAsia="仿宋_GB2312" w:cs="仿宋_GB2312"/>
          <w:sz w:val="32"/>
          <w:szCs w:val="32"/>
        </w:rPr>
        <w:t>年预算数增加</w:t>
      </w:r>
      <w:r>
        <w:rPr>
          <w:rFonts w:ascii="仿宋_GB2312" w:eastAsia="仿宋_GB2312" w:cs="仿宋_GB2312"/>
          <w:sz w:val="32"/>
          <w:szCs w:val="32"/>
        </w:rPr>
        <w:t>5212.73</w:t>
      </w:r>
      <w:r>
        <w:rPr>
          <w:rFonts w:hint="eastAsia" w:ascii="仿宋_GB2312" w:eastAsia="仿宋_GB2312" w:cs="仿宋_GB2312"/>
          <w:sz w:val="32"/>
          <w:szCs w:val="32"/>
        </w:rPr>
        <w:t>万元，增长</w:t>
      </w:r>
      <w:r>
        <w:rPr>
          <w:rFonts w:ascii="仿宋_GB2312" w:eastAsia="仿宋_GB2312" w:cs="仿宋_GB2312"/>
          <w:sz w:val="32"/>
          <w:szCs w:val="32"/>
        </w:rPr>
        <w:t>27.39</w:t>
      </w:r>
      <w:r>
        <w:rPr>
          <w:rFonts w:hint="eastAsia" w:ascii="仿宋_GB2312" w:eastAsia="仿宋_GB2312" w:cs="仿宋_GB2312"/>
          <w:sz w:val="32"/>
          <w:szCs w:val="32"/>
        </w:rPr>
        <w:t>％</w:t>
      </w:r>
      <w:r>
        <w:rPr>
          <w:rFonts w:hint="eastAsia" w:ascii="仿宋_GB2312" w:eastAsia="仿宋_GB2312"/>
          <w:sz w:val="32"/>
          <w:szCs w:val="32"/>
        </w:rPr>
        <w:t>，</w:t>
      </w:r>
      <w:r>
        <w:rPr>
          <w:rFonts w:hint="eastAsia" w:ascii="仿宋_GB2312" w:eastAsia="仿宋_GB2312" w:cs="仿宋_GB2312"/>
          <w:sz w:val="32"/>
          <w:szCs w:val="32"/>
        </w:rPr>
        <w:t>具体情况如下：</w:t>
      </w:r>
    </w:p>
    <w:p w14:paraId="043E06D9">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cs="仿宋_GB2312"/>
          <w:sz w:val="32"/>
          <w:szCs w:val="32"/>
        </w:rPr>
        <w:t>财政拨款收入</w:t>
      </w:r>
      <w:r>
        <w:rPr>
          <w:rFonts w:ascii="仿宋_GB2312" w:eastAsia="仿宋_GB2312" w:cs="仿宋_GB2312"/>
          <w:sz w:val="32"/>
          <w:szCs w:val="32"/>
        </w:rPr>
        <w:t>24240.41</w:t>
      </w:r>
      <w:r>
        <w:rPr>
          <w:rFonts w:hint="eastAsia" w:ascii="仿宋_GB2312" w:eastAsia="仿宋_GB2312" w:cs="仿宋_GB2312"/>
          <w:sz w:val="32"/>
          <w:szCs w:val="32"/>
        </w:rPr>
        <w:t>万元，其中</w:t>
      </w:r>
      <w:r>
        <w:rPr>
          <w:rFonts w:hint="eastAsia" w:ascii="仿宋_GB2312" w:eastAsia="仿宋_GB2312"/>
          <w:sz w:val="32"/>
          <w:szCs w:val="32"/>
        </w:rPr>
        <w:t>一般公共预算拨款收入</w:t>
      </w:r>
      <w:r>
        <w:rPr>
          <w:rFonts w:ascii="仿宋_GB2312" w:eastAsia="仿宋_GB2312" w:cs="仿宋_GB2312"/>
          <w:sz w:val="32"/>
          <w:szCs w:val="32"/>
        </w:rPr>
        <w:t>24240.41</w:t>
      </w:r>
      <w:r>
        <w:rPr>
          <w:rFonts w:hint="eastAsia" w:ascii="仿宋_GB2312" w:eastAsia="仿宋_GB2312"/>
          <w:sz w:val="32"/>
          <w:szCs w:val="32"/>
        </w:rPr>
        <w:t>万元，政府性基金拨款收入</w:t>
      </w:r>
      <w:r>
        <w:rPr>
          <w:rFonts w:ascii="仿宋_GB2312" w:eastAsia="仿宋_GB2312" w:cs="仿宋_GB2312"/>
          <w:sz w:val="32"/>
          <w:szCs w:val="32"/>
        </w:rPr>
        <w:t>0</w:t>
      </w:r>
      <w:r>
        <w:rPr>
          <w:rFonts w:hint="eastAsia" w:ascii="仿宋_GB2312" w:eastAsia="仿宋_GB2312"/>
          <w:sz w:val="32"/>
          <w:szCs w:val="32"/>
        </w:rPr>
        <w:t>万元；</w:t>
      </w:r>
    </w:p>
    <w:p w14:paraId="1B0A4E9B">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rPr>
        <w:t xml:space="preserve"> </w:t>
      </w:r>
      <w:r>
        <w:rPr>
          <w:rFonts w:hint="eastAsia" w:ascii="仿宋_GB2312" w:eastAsia="仿宋_GB2312"/>
          <w:sz w:val="32"/>
          <w:szCs w:val="32"/>
        </w:rPr>
        <w:t>财政专户管理的事业收入</w:t>
      </w:r>
      <w:r>
        <w:rPr>
          <w:rFonts w:ascii="仿宋_GB2312" w:eastAsia="仿宋_GB2312" w:cs="仿宋_GB2312"/>
          <w:sz w:val="32"/>
          <w:szCs w:val="32"/>
        </w:rPr>
        <w:t>0</w:t>
      </w:r>
      <w:r>
        <w:rPr>
          <w:rFonts w:hint="eastAsia" w:ascii="仿宋_GB2312" w:eastAsia="仿宋_GB2312"/>
          <w:sz w:val="32"/>
          <w:szCs w:val="32"/>
        </w:rPr>
        <w:t>万元；</w:t>
      </w:r>
    </w:p>
    <w:p w14:paraId="6E02D66D">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事业收入(含批准留用)</w:t>
      </w:r>
      <w:r>
        <w:rPr>
          <w:rFonts w:hint="eastAsia" w:ascii="仿宋_GB2312" w:eastAsia="仿宋_GB2312" w:cs="仿宋_GB2312"/>
          <w:sz w:val="32"/>
          <w:szCs w:val="32"/>
        </w:rPr>
        <w:t xml:space="preserve"> </w:t>
      </w:r>
      <w:r>
        <w:rPr>
          <w:rFonts w:ascii="仿宋_GB2312" w:eastAsia="仿宋_GB2312" w:cs="仿宋_GB2312"/>
          <w:sz w:val="32"/>
          <w:szCs w:val="32"/>
        </w:rPr>
        <w:t>0</w:t>
      </w:r>
      <w:r>
        <w:rPr>
          <w:rFonts w:hint="eastAsia" w:ascii="仿宋_GB2312" w:eastAsia="仿宋_GB2312"/>
          <w:sz w:val="32"/>
          <w:szCs w:val="32"/>
        </w:rPr>
        <w:t>万元；</w:t>
      </w:r>
    </w:p>
    <w:p w14:paraId="611A2139">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4.事业单位经营收入</w:t>
      </w:r>
      <w:r>
        <w:rPr>
          <w:rFonts w:ascii="仿宋_GB2312" w:eastAsia="仿宋_GB2312"/>
          <w:sz w:val="32"/>
          <w:szCs w:val="32"/>
        </w:rPr>
        <w:t>0</w:t>
      </w:r>
      <w:r>
        <w:rPr>
          <w:rFonts w:hint="eastAsia" w:ascii="仿宋_GB2312" w:eastAsia="仿宋_GB2312"/>
          <w:sz w:val="32"/>
          <w:szCs w:val="32"/>
        </w:rPr>
        <w:t>万元；</w:t>
      </w:r>
    </w:p>
    <w:p w14:paraId="62C8918A">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5.上级补助收入</w:t>
      </w:r>
      <w:r>
        <w:rPr>
          <w:rFonts w:ascii="仿宋_GB2312" w:eastAsia="仿宋_GB2312"/>
          <w:sz w:val="32"/>
          <w:szCs w:val="32"/>
        </w:rPr>
        <w:t>0</w:t>
      </w:r>
      <w:r>
        <w:rPr>
          <w:rFonts w:hint="eastAsia" w:ascii="仿宋_GB2312" w:eastAsia="仿宋_GB2312"/>
          <w:sz w:val="32"/>
          <w:szCs w:val="32"/>
        </w:rPr>
        <w:t>万元；</w:t>
      </w:r>
    </w:p>
    <w:p w14:paraId="7005F44D">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rPr>
        <w:t xml:space="preserve"> </w:t>
      </w:r>
      <w:r>
        <w:rPr>
          <w:rFonts w:hint="eastAsia" w:ascii="仿宋_GB2312" w:eastAsia="仿宋_GB2312"/>
          <w:sz w:val="32"/>
          <w:szCs w:val="32"/>
        </w:rPr>
        <w:t>附属单位上缴收入</w:t>
      </w:r>
      <w:r>
        <w:rPr>
          <w:rFonts w:ascii="仿宋_GB2312" w:eastAsia="仿宋_GB2312"/>
          <w:sz w:val="32"/>
          <w:szCs w:val="32"/>
        </w:rPr>
        <w:t>0</w:t>
      </w:r>
      <w:r>
        <w:rPr>
          <w:rFonts w:hint="eastAsia" w:ascii="仿宋_GB2312" w:eastAsia="仿宋_GB2312"/>
          <w:sz w:val="32"/>
          <w:szCs w:val="32"/>
        </w:rPr>
        <w:t>万元；</w:t>
      </w:r>
    </w:p>
    <w:p w14:paraId="50757D1A">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7.历年结余</w:t>
      </w:r>
      <w:r>
        <w:rPr>
          <w:rFonts w:ascii="仿宋_GB2312" w:eastAsia="仿宋_GB2312"/>
          <w:sz w:val="32"/>
          <w:szCs w:val="32"/>
        </w:rPr>
        <w:t>0</w:t>
      </w:r>
      <w:r>
        <w:rPr>
          <w:rFonts w:hint="eastAsia" w:ascii="仿宋_GB2312" w:eastAsia="仿宋_GB2312"/>
          <w:sz w:val="32"/>
          <w:szCs w:val="32"/>
        </w:rPr>
        <w:t>万元；</w:t>
      </w:r>
    </w:p>
    <w:p w14:paraId="0158D32C">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8.其他收入</w:t>
      </w:r>
      <w:r>
        <w:rPr>
          <w:rFonts w:ascii="仿宋_GB2312" w:eastAsia="仿宋_GB2312"/>
          <w:sz w:val="32"/>
          <w:szCs w:val="32"/>
        </w:rPr>
        <w:t>0</w:t>
      </w:r>
      <w:r>
        <w:rPr>
          <w:rFonts w:hint="eastAsia" w:ascii="仿宋_GB2312" w:eastAsia="仿宋_GB2312"/>
          <w:sz w:val="32"/>
          <w:szCs w:val="32"/>
        </w:rPr>
        <w:t>万元；</w:t>
      </w:r>
    </w:p>
    <w:p w14:paraId="62CFE88F">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9.其他资金</w:t>
      </w:r>
      <w:r>
        <w:rPr>
          <w:rFonts w:ascii="仿宋_GB2312" w:eastAsia="仿宋_GB2312"/>
          <w:sz w:val="32"/>
          <w:szCs w:val="32"/>
        </w:rPr>
        <w:t>0</w:t>
      </w:r>
      <w:r>
        <w:rPr>
          <w:rFonts w:hint="eastAsia" w:ascii="仿宋_GB2312" w:eastAsia="仿宋_GB2312"/>
          <w:sz w:val="32"/>
          <w:szCs w:val="32"/>
        </w:rPr>
        <w:t>万元。</w:t>
      </w:r>
    </w:p>
    <w:p w14:paraId="74E37099">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sz w:val="32"/>
          <w:szCs w:val="32"/>
        </w:rPr>
        <w:t>（二）</w:t>
      </w:r>
      <w:r>
        <w:rPr>
          <w:rFonts w:ascii="仿宋_GB2312" w:eastAsia="仿宋_GB2312" w:cs="仿宋_GB2312"/>
          <w:sz w:val="32"/>
          <w:szCs w:val="32"/>
        </w:rPr>
        <w:t>市发改委</w:t>
      </w:r>
      <w:r>
        <w:rPr>
          <w:rFonts w:hint="eastAsia" w:ascii="仿宋_GB2312" w:eastAsia="仿宋_GB2312"/>
          <w:sz w:val="32"/>
          <w:szCs w:val="32"/>
        </w:rPr>
        <w:t>部门2019年支出预算为</w:t>
      </w:r>
      <w:r>
        <w:rPr>
          <w:rFonts w:ascii="仿宋_GB2312" w:eastAsia="仿宋_GB2312" w:cs="仿宋_GB2312"/>
          <w:sz w:val="32"/>
          <w:szCs w:val="32"/>
        </w:rPr>
        <w:t>20240.41</w:t>
      </w:r>
      <w:r>
        <w:rPr>
          <w:rFonts w:hint="eastAsia" w:ascii="仿宋_GB2312" w:eastAsia="仿宋_GB2312"/>
          <w:sz w:val="32"/>
          <w:szCs w:val="32"/>
        </w:rPr>
        <w:t>万元，</w:t>
      </w:r>
      <w:r>
        <w:rPr>
          <w:rFonts w:hint="eastAsia" w:ascii="仿宋_GB2312" w:eastAsia="仿宋_GB2312" w:cs="仿宋_GB2312"/>
          <w:sz w:val="32"/>
          <w:szCs w:val="32"/>
        </w:rPr>
        <w:t>比201</w:t>
      </w:r>
      <w:r>
        <w:rPr>
          <w:rFonts w:ascii="仿宋_GB2312" w:eastAsia="仿宋_GB2312" w:cs="仿宋_GB2312"/>
          <w:sz w:val="32"/>
          <w:szCs w:val="32"/>
        </w:rPr>
        <w:t>8</w:t>
      </w:r>
      <w:r>
        <w:rPr>
          <w:rFonts w:hint="eastAsia" w:ascii="仿宋_GB2312" w:eastAsia="仿宋_GB2312" w:cs="仿宋_GB2312"/>
          <w:sz w:val="32"/>
          <w:szCs w:val="32"/>
        </w:rPr>
        <w:t>年预算数增加</w:t>
      </w:r>
      <w:r>
        <w:rPr>
          <w:rFonts w:ascii="仿宋_GB2312" w:eastAsia="仿宋_GB2312" w:cs="仿宋_GB2312"/>
          <w:sz w:val="32"/>
          <w:szCs w:val="32"/>
        </w:rPr>
        <w:t>5212.73</w:t>
      </w:r>
      <w:r>
        <w:rPr>
          <w:rFonts w:hint="eastAsia" w:ascii="仿宋_GB2312" w:eastAsia="仿宋_GB2312" w:cs="仿宋_GB2312"/>
          <w:sz w:val="32"/>
          <w:szCs w:val="32"/>
        </w:rPr>
        <w:t>万元，增长</w:t>
      </w:r>
      <w:r>
        <w:rPr>
          <w:rFonts w:ascii="仿宋_GB2312" w:eastAsia="仿宋_GB2312" w:cs="仿宋_GB2312"/>
          <w:sz w:val="32"/>
          <w:szCs w:val="32"/>
        </w:rPr>
        <w:t>27.39</w:t>
      </w:r>
      <w:r>
        <w:rPr>
          <w:rFonts w:hint="eastAsia" w:ascii="仿宋_GB2312" w:eastAsia="仿宋_GB2312" w:cs="仿宋_GB2312"/>
          <w:sz w:val="32"/>
          <w:szCs w:val="32"/>
        </w:rPr>
        <w:t>％</w:t>
      </w:r>
      <w:r>
        <w:rPr>
          <w:rFonts w:hint="eastAsia" w:ascii="仿宋_GB2312" w:eastAsia="仿宋_GB2312"/>
          <w:sz w:val="32"/>
          <w:szCs w:val="32"/>
        </w:rPr>
        <w:t>，</w:t>
      </w:r>
      <w:r>
        <w:rPr>
          <w:rFonts w:hint="eastAsia" w:ascii="仿宋_GB2312" w:eastAsia="仿宋_GB2312" w:cs="仿宋_GB2312"/>
          <w:sz w:val="32"/>
          <w:szCs w:val="32"/>
        </w:rPr>
        <w:t>具体情况如下：</w:t>
      </w:r>
    </w:p>
    <w:p w14:paraId="772B47DA">
      <w:pPr>
        <w:tabs>
          <w:tab w:val="left" w:pos="7513"/>
        </w:tabs>
        <w:adjustRightInd w:val="0"/>
        <w:snapToGrid w:val="0"/>
        <w:spacing w:line="560" w:lineRule="exact"/>
        <w:ind w:firstLine="640" w:firstLineChars="200"/>
        <w:rPr>
          <w:rFonts w:ascii="仿宋_GB2312" w:eastAsia="仿宋_GB2312"/>
          <w:color w:val="0000FF"/>
          <w:sz w:val="32"/>
          <w:szCs w:val="32"/>
        </w:rPr>
      </w:pPr>
      <w:r>
        <w:rPr>
          <w:rFonts w:hint="eastAsia" w:ascii="仿宋_GB2312" w:eastAsia="仿宋_GB2312"/>
          <w:sz w:val="32"/>
          <w:szCs w:val="32"/>
        </w:rPr>
        <w:t>1.基本支出</w:t>
      </w:r>
      <w:r>
        <w:rPr>
          <w:rFonts w:ascii="仿宋_GB2312" w:eastAsia="仿宋_GB2312" w:cs="仿宋_GB2312"/>
          <w:sz w:val="32"/>
          <w:szCs w:val="32"/>
        </w:rPr>
        <w:t>9193.41</w:t>
      </w:r>
      <w:r>
        <w:rPr>
          <w:rFonts w:hint="eastAsia" w:ascii="仿宋_GB2312" w:eastAsia="仿宋_GB2312"/>
          <w:sz w:val="32"/>
          <w:szCs w:val="32"/>
        </w:rPr>
        <w:t>万元，其中，人员支出</w:t>
      </w:r>
      <w:r>
        <w:rPr>
          <w:rFonts w:ascii="仿宋_GB2312" w:eastAsia="仿宋_GB2312"/>
          <w:sz w:val="32"/>
          <w:szCs w:val="32"/>
        </w:rPr>
        <w:t>7638.16</w:t>
      </w:r>
      <w:r>
        <w:rPr>
          <w:rFonts w:hint="eastAsia" w:ascii="仿宋_GB2312" w:eastAsia="仿宋_GB2312"/>
          <w:sz w:val="32"/>
          <w:szCs w:val="32"/>
        </w:rPr>
        <w:t>万元，公用支出</w:t>
      </w:r>
      <w:r>
        <w:rPr>
          <w:rFonts w:ascii="仿宋_GB2312" w:eastAsia="仿宋_GB2312"/>
          <w:sz w:val="32"/>
          <w:szCs w:val="32"/>
        </w:rPr>
        <w:t>1555.25</w:t>
      </w:r>
      <w:r>
        <w:rPr>
          <w:rFonts w:hint="eastAsia" w:ascii="仿宋_GB2312" w:eastAsia="仿宋_GB2312"/>
          <w:sz w:val="32"/>
          <w:szCs w:val="32"/>
        </w:rPr>
        <w:t>万元</w:t>
      </w:r>
      <w:r>
        <w:rPr>
          <w:rFonts w:hint="eastAsia" w:ascii="仿宋_GB2312" w:eastAsia="仿宋_GB2312"/>
          <w:color w:val="0000FF"/>
          <w:sz w:val="32"/>
          <w:szCs w:val="32"/>
        </w:rPr>
        <w:t>；</w:t>
      </w:r>
    </w:p>
    <w:p w14:paraId="54033788">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2.项目支出</w:t>
      </w:r>
      <w:r>
        <w:rPr>
          <w:rFonts w:ascii="仿宋_GB2312" w:eastAsia="仿宋_GB2312"/>
          <w:sz w:val="32"/>
          <w:szCs w:val="32"/>
        </w:rPr>
        <w:t>15047</w:t>
      </w:r>
      <w:r>
        <w:rPr>
          <w:rFonts w:hint="eastAsia" w:ascii="仿宋_GB2312" w:eastAsia="仿宋_GB2312"/>
          <w:sz w:val="32"/>
          <w:szCs w:val="32"/>
        </w:rPr>
        <w:t>万元；</w:t>
      </w:r>
    </w:p>
    <w:p w14:paraId="7B8A30DA">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3.事业单位经营支出</w:t>
      </w:r>
      <w:r>
        <w:rPr>
          <w:rFonts w:ascii="仿宋_GB2312" w:eastAsia="仿宋_GB2312" w:cs="仿宋_GB2312"/>
          <w:sz w:val="32"/>
          <w:szCs w:val="32"/>
        </w:rPr>
        <w:t>0</w:t>
      </w:r>
      <w:r>
        <w:rPr>
          <w:rFonts w:hint="eastAsia" w:ascii="仿宋_GB2312" w:eastAsia="仿宋_GB2312"/>
          <w:sz w:val="32"/>
          <w:szCs w:val="32"/>
        </w:rPr>
        <w:t>万元。</w:t>
      </w:r>
    </w:p>
    <w:p w14:paraId="7E249EEA">
      <w:pPr>
        <w:tabs>
          <w:tab w:val="left" w:pos="7513"/>
        </w:tabs>
        <w:adjustRightInd w:val="0"/>
        <w:snapToGrid w:val="0"/>
        <w:spacing w:line="560" w:lineRule="exact"/>
        <w:ind w:firstLine="640" w:firstLineChars="200"/>
        <w:rPr>
          <w:rFonts w:ascii="黑体" w:eastAsia="黑体" w:cs="仿宋_GB2312"/>
          <w:bCs/>
          <w:sz w:val="32"/>
          <w:szCs w:val="32"/>
        </w:rPr>
      </w:pPr>
      <w:r>
        <w:rPr>
          <w:rFonts w:hint="eastAsia" w:ascii="黑体" w:eastAsia="黑体" w:cs="仿宋_GB2312"/>
          <w:bCs/>
          <w:sz w:val="32"/>
          <w:szCs w:val="32"/>
        </w:rPr>
        <w:t>二、一般公共预算财政拨款支出预算情况</w:t>
      </w:r>
    </w:p>
    <w:p w14:paraId="697FD7DE">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cs="宋体"/>
          <w:bCs/>
          <w:sz w:val="32"/>
          <w:szCs w:val="32"/>
        </w:rPr>
        <w:t>2019年</w:t>
      </w:r>
      <w:r>
        <w:rPr>
          <w:rFonts w:hint="eastAsia" w:ascii="仿宋_GB2312" w:eastAsia="仿宋_GB2312" w:cs="仿宋_GB2312"/>
          <w:sz w:val="32"/>
          <w:szCs w:val="32"/>
        </w:rPr>
        <w:t>度一般公共预算</w:t>
      </w:r>
      <w:r>
        <w:rPr>
          <w:rFonts w:ascii="仿宋_GB2312" w:eastAsia="仿宋_GB2312" w:cs="仿宋_GB2312"/>
          <w:sz w:val="32"/>
          <w:szCs w:val="32"/>
        </w:rPr>
        <w:t>拨款</w:t>
      </w:r>
      <w:r>
        <w:rPr>
          <w:rFonts w:hint="eastAsia" w:ascii="仿宋_GB2312" w:eastAsia="仿宋_GB2312" w:cs="仿宋_GB2312"/>
          <w:sz w:val="32"/>
          <w:szCs w:val="32"/>
        </w:rPr>
        <w:t>支出</w:t>
      </w:r>
      <w:r>
        <w:rPr>
          <w:rFonts w:ascii="仿宋_GB2312" w:eastAsia="仿宋_GB2312" w:cs="仿宋_GB2312"/>
          <w:sz w:val="32"/>
          <w:szCs w:val="32"/>
        </w:rPr>
        <w:t>24240.41</w:t>
      </w:r>
      <w:r>
        <w:rPr>
          <w:rFonts w:hint="eastAsia" w:ascii="仿宋_GB2312" w:eastAsia="仿宋_GB2312" w:cs="仿宋_GB2312"/>
          <w:sz w:val="32"/>
          <w:szCs w:val="32"/>
        </w:rPr>
        <w:t>万元，比2018年预算数增加</w:t>
      </w:r>
      <w:r>
        <w:rPr>
          <w:rFonts w:ascii="仿宋_GB2312" w:eastAsia="仿宋_GB2312" w:cs="仿宋_GB2312"/>
          <w:sz w:val="32"/>
          <w:szCs w:val="32"/>
        </w:rPr>
        <w:t>5212.73</w:t>
      </w:r>
      <w:r>
        <w:rPr>
          <w:rFonts w:hint="eastAsia" w:ascii="仿宋_GB2312" w:eastAsia="仿宋_GB2312" w:cs="仿宋_GB2312"/>
          <w:sz w:val="32"/>
          <w:szCs w:val="32"/>
        </w:rPr>
        <w:t>万元，增长</w:t>
      </w:r>
      <w:r>
        <w:rPr>
          <w:rFonts w:ascii="仿宋_GB2312" w:eastAsia="仿宋_GB2312" w:cs="仿宋_GB2312"/>
          <w:sz w:val="32"/>
          <w:szCs w:val="32"/>
        </w:rPr>
        <w:t>27.39</w:t>
      </w:r>
      <w:r>
        <w:rPr>
          <w:rFonts w:hint="eastAsia" w:ascii="仿宋_GB2312" w:eastAsia="仿宋_GB2312" w:cs="仿宋_GB2312"/>
          <w:sz w:val="32"/>
          <w:szCs w:val="32"/>
        </w:rPr>
        <w:t>％，</w:t>
      </w:r>
      <w:r>
        <w:rPr>
          <w:rFonts w:hint="eastAsia" w:ascii="仿宋_GB2312" w:eastAsia="仿宋_GB2312"/>
          <w:sz w:val="32"/>
          <w:szCs w:val="32"/>
        </w:rPr>
        <w:t>主要是增加了</w:t>
      </w:r>
      <w:r>
        <w:rPr>
          <w:rFonts w:ascii="仿宋_GB2312" w:eastAsia="仿宋_GB2312"/>
          <w:sz w:val="32"/>
          <w:szCs w:val="32"/>
        </w:rPr>
        <w:t>人员支出1189万元，公用支出58万元以及项目支出3966万元</w:t>
      </w:r>
      <w:r>
        <w:rPr>
          <w:rFonts w:hint="eastAsia" w:ascii="仿宋_GB2312" w:eastAsia="仿宋_GB2312" w:cs="仿宋_GB2312"/>
          <w:sz w:val="32"/>
          <w:szCs w:val="32"/>
        </w:rPr>
        <w:t>。支出项目(按项级科目分类统计)包括：</w:t>
      </w:r>
      <w:r>
        <w:rPr>
          <w:rFonts w:hint="eastAsia" w:ascii="仿宋_GB2312" w:eastAsia="仿宋_GB2312"/>
          <w:sz w:val="32"/>
          <w:szCs w:val="32"/>
        </w:rPr>
        <w:t xml:space="preserve"> </w:t>
      </w:r>
    </w:p>
    <w:p w14:paraId="6E73A0C5">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（一）行政运行（发展与改革事务）</w:t>
      </w:r>
      <w:r>
        <w:rPr>
          <w:rFonts w:ascii="仿宋_GB2312" w:eastAsia="仿宋_GB2312" w:cs="仿宋_GB2312"/>
          <w:sz w:val="32"/>
          <w:szCs w:val="32"/>
        </w:rPr>
        <w:t>4916.58</w:t>
      </w:r>
      <w:r>
        <w:rPr>
          <w:rFonts w:hint="eastAsia" w:ascii="仿宋_GB2312" w:eastAsia="仿宋_GB2312" w:cs="仿宋_GB2312"/>
          <w:sz w:val="32"/>
          <w:szCs w:val="32"/>
        </w:rPr>
        <w:t>万元。主要用于行政机关人员经费支出以及保障机构正常运转、完成日常工作任务的日常公用经费支出。</w:t>
      </w:r>
    </w:p>
    <w:p w14:paraId="7B13772B">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（二）一般行政管理事务（发展与改革事务）</w:t>
      </w:r>
      <w:r>
        <w:rPr>
          <w:rFonts w:ascii="仿宋_GB2312" w:eastAsia="仿宋_GB2312" w:cs="仿宋_GB2312"/>
          <w:sz w:val="32"/>
          <w:szCs w:val="32"/>
        </w:rPr>
        <w:t>560</w:t>
      </w:r>
      <w:r>
        <w:rPr>
          <w:rFonts w:hint="eastAsia" w:ascii="仿宋_GB2312" w:eastAsia="仿宋_GB2312" w:cs="仿宋_GB2312"/>
          <w:sz w:val="32"/>
          <w:szCs w:val="32"/>
        </w:rPr>
        <w:t>万元。主要用于挂靠我委的市各领导小组办公室工作；一带一路及国际化工作；规划编制工作；与市委组织部联合举办全市干部专题培训班和组织全委干部职工系统学习培训；6.18海峡项目成果交易会；重大项目稽察工作；价格管理及价格改革工作；重点企业碳排放及复查工作</w:t>
      </w:r>
      <w:r>
        <w:rPr>
          <w:rFonts w:ascii="仿宋_GB2312" w:eastAsia="仿宋_GB2312" w:cs="仿宋_GB2312"/>
          <w:sz w:val="32"/>
          <w:szCs w:val="32"/>
        </w:rPr>
        <w:t>；闽西南经济协作区办公室工作经费</w:t>
      </w:r>
      <w:r>
        <w:rPr>
          <w:rFonts w:hint="eastAsia" w:ascii="仿宋_GB2312" w:eastAsia="仿宋_GB2312" w:cs="仿宋_GB2312"/>
          <w:sz w:val="32"/>
          <w:szCs w:val="32"/>
        </w:rPr>
        <w:t>等。</w:t>
      </w:r>
    </w:p>
    <w:p w14:paraId="7A9D7FAB">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w:t>
      </w:r>
      <w:r>
        <w:rPr>
          <w:rFonts w:ascii="仿宋_GB2312" w:eastAsia="仿宋_GB2312" w:cs="仿宋_GB2312"/>
          <w:sz w:val="32"/>
          <w:szCs w:val="32"/>
        </w:rPr>
        <w:t>战略规划与实施180万元，</w:t>
      </w:r>
      <w:r>
        <w:rPr>
          <w:rFonts w:hint="eastAsia" w:ascii="仿宋_GB2312" w:eastAsia="仿宋_GB2312" w:cs="仿宋_GB2312"/>
          <w:sz w:val="32"/>
          <w:szCs w:val="32"/>
        </w:rPr>
        <w:t>主要用于</w:t>
      </w:r>
      <w:r>
        <w:rPr>
          <w:rFonts w:hint="eastAsia" w:ascii="仿宋_GB2312" w:eastAsia="仿宋_GB2312" w:cs="仿宋_GB2312"/>
          <w:sz w:val="32"/>
          <w:szCs w:val="32"/>
          <w:lang w:eastAsia="zh-CN"/>
        </w:rPr>
        <w:t>“</w:t>
      </w:r>
      <w:bookmarkStart w:id="0" w:name="_GoBack"/>
      <w:r>
        <w:rPr>
          <w:rFonts w:ascii="仿宋_GB2312" w:eastAsia="仿宋_GB2312" w:cs="仿宋_GB2312"/>
          <w:sz w:val="32"/>
          <w:szCs w:val="32"/>
        </w:rPr>
        <w:t>十四五</w:t>
      </w:r>
      <w:bookmarkEnd w:id="0"/>
      <w:r>
        <w:rPr>
          <w:rFonts w:hint="eastAsia" w:ascii="仿宋_GB2312" w:eastAsia="仿宋_GB2312" w:cs="仿宋_GB2312"/>
          <w:sz w:val="32"/>
          <w:szCs w:val="32"/>
          <w:lang w:eastAsia="zh-CN"/>
        </w:rPr>
        <w:t>”</w:t>
      </w:r>
      <w:r>
        <w:rPr>
          <w:rFonts w:ascii="仿宋_GB2312" w:eastAsia="仿宋_GB2312" w:cs="仿宋_GB2312"/>
          <w:sz w:val="32"/>
          <w:szCs w:val="32"/>
        </w:rPr>
        <w:t>规划研究工作。</w:t>
      </w:r>
    </w:p>
    <w:p w14:paraId="234F5841">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（四）社会事业发展规划</w:t>
      </w:r>
      <w:r>
        <w:rPr>
          <w:rFonts w:ascii="仿宋_GB2312" w:eastAsia="仿宋_GB2312" w:cs="仿宋_GB2312"/>
          <w:sz w:val="32"/>
          <w:szCs w:val="32"/>
        </w:rPr>
        <w:t>332</w:t>
      </w:r>
      <w:r>
        <w:rPr>
          <w:rFonts w:hint="eastAsia" w:ascii="仿宋_GB2312" w:eastAsia="仿宋_GB2312" w:cs="仿宋_GB2312"/>
          <w:sz w:val="32"/>
          <w:szCs w:val="32"/>
        </w:rPr>
        <w:t>万元。主要用于厦门市与中国社科院战略合作协议工作。</w:t>
      </w:r>
    </w:p>
    <w:p w14:paraId="65D3FC96">
      <w:pPr>
        <w:tabs>
          <w:tab w:val="left" w:pos="751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（五）物价管理</w:t>
      </w:r>
      <w:r>
        <w:rPr>
          <w:rFonts w:ascii="仿宋_GB2312" w:eastAsia="仿宋_GB2312" w:cs="仿宋_GB2312"/>
          <w:sz w:val="32"/>
          <w:szCs w:val="32"/>
        </w:rPr>
        <w:t>224</w:t>
      </w:r>
      <w:r>
        <w:rPr>
          <w:rFonts w:hint="eastAsia" w:ascii="仿宋_GB2312" w:eastAsia="仿宋_GB2312" w:cs="仿宋_GB2312"/>
          <w:sz w:val="32"/>
          <w:szCs w:val="32"/>
        </w:rPr>
        <w:t>万元。主要用于价格监管及各项价格专项检查，“12358”投诉举报平台建设，价格诚信建设，农产品成本调查，价格监测预警，定调价成本监审，价格认证，价格争议调解处理，民生价格服务工作等支出。</w:t>
      </w:r>
    </w:p>
    <w:p w14:paraId="482EEC55">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（六）事业运行</w:t>
      </w:r>
      <w:r>
        <w:rPr>
          <w:rFonts w:ascii="仿宋_GB2312" w:eastAsia="仿宋_GB2312" w:cs="仿宋_GB2312"/>
          <w:sz w:val="32"/>
          <w:szCs w:val="32"/>
        </w:rPr>
        <w:t>3041.37</w:t>
      </w:r>
      <w:r>
        <w:rPr>
          <w:rFonts w:hint="eastAsia" w:ascii="仿宋_GB2312" w:eastAsia="仿宋_GB2312" w:cs="仿宋_GB2312"/>
          <w:sz w:val="32"/>
          <w:szCs w:val="32"/>
        </w:rPr>
        <w:t>万元。主要用于事业单位人员经费支出以及保障事业单位机构正常运转、完成日常工作任务的日常公用经费支出。</w:t>
      </w:r>
    </w:p>
    <w:p w14:paraId="0B8CA448">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（七）其他发展与改革事务支出</w:t>
      </w:r>
      <w:r>
        <w:rPr>
          <w:rFonts w:ascii="仿宋_GB2312" w:eastAsia="仿宋_GB2312" w:cs="仿宋_GB2312"/>
          <w:sz w:val="32"/>
          <w:szCs w:val="32"/>
        </w:rPr>
        <w:t>6929</w:t>
      </w:r>
      <w:r>
        <w:rPr>
          <w:rFonts w:hint="eastAsia" w:ascii="仿宋_GB2312" w:eastAsia="仿宋_GB2312" w:cs="仿宋_GB2312"/>
          <w:sz w:val="32"/>
          <w:szCs w:val="32"/>
        </w:rPr>
        <w:t>万元。主要用于我市社会信用体系建设工作；平价商店补贴及建设；厦门服装设计产业发展扶持；</w:t>
      </w:r>
      <w:r>
        <w:rPr>
          <w:rFonts w:hint="eastAsia" w:ascii="仿宋_GB2312" w:eastAsia="仿宋_GB2312"/>
          <w:sz w:val="32"/>
          <w:szCs w:val="32"/>
        </w:rPr>
        <w:t>厦门大学能源材料与石墨烯创新平台建设；</w:t>
      </w:r>
      <w:r>
        <w:rPr>
          <w:rFonts w:hint="eastAsia" w:ascii="仿宋_GB2312" w:eastAsia="仿宋_GB2312" w:cs="仿宋_GB2312"/>
          <w:sz w:val="32"/>
          <w:szCs w:val="32"/>
        </w:rPr>
        <w:t>市委市政府重大课题研究、建设专家顾问库、信息资料采编及宏观经济数据库系统维护、宏观经济高端论坛、经济发展研究；政府投资项目评审工作平台建设、注册咨询工程师及工程咨询单位资格认定、政府投资项目评审等支出。</w:t>
      </w:r>
    </w:p>
    <w:p w14:paraId="12BBB498">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（八）</w:t>
      </w:r>
      <w:r>
        <w:rPr>
          <w:rFonts w:ascii="仿宋_GB2312" w:eastAsia="仿宋_GB2312" w:cs="仿宋_GB2312"/>
          <w:sz w:val="32"/>
          <w:szCs w:val="32"/>
        </w:rPr>
        <w:t>其他文化体育与传媒支出2000万元，主要用于厦门国际时尚周活动补助支出。</w:t>
      </w:r>
    </w:p>
    <w:p w14:paraId="43304038">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（九）归口管理的行政单位离退休</w:t>
      </w:r>
      <w:r>
        <w:rPr>
          <w:rFonts w:ascii="仿宋_GB2312" w:eastAsia="仿宋_GB2312" w:cs="仿宋_GB2312"/>
          <w:sz w:val="32"/>
          <w:szCs w:val="32"/>
        </w:rPr>
        <w:t>373.90</w:t>
      </w:r>
      <w:r>
        <w:rPr>
          <w:rFonts w:hint="eastAsia" w:ascii="仿宋_GB2312" w:eastAsia="仿宋_GB2312" w:cs="仿宋_GB2312"/>
          <w:sz w:val="32"/>
          <w:szCs w:val="32"/>
        </w:rPr>
        <w:t>万元。主要用于行政机关离退休人员支出。</w:t>
      </w:r>
    </w:p>
    <w:p w14:paraId="7DF7B364">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（十）事业单位离退休</w:t>
      </w:r>
      <w:r>
        <w:rPr>
          <w:rFonts w:ascii="仿宋_GB2312" w:eastAsia="仿宋_GB2312" w:cs="仿宋_GB2312"/>
          <w:sz w:val="32"/>
          <w:szCs w:val="32"/>
        </w:rPr>
        <w:t>59.15</w:t>
      </w:r>
      <w:r>
        <w:rPr>
          <w:rFonts w:hint="eastAsia" w:ascii="仿宋_GB2312" w:eastAsia="仿宋_GB2312" w:cs="仿宋_GB2312"/>
          <w:sz w:val="32"/>
          <w:szCs w:val="32"/>
        </w:rPr>
        <w:t>万元。主要用于事业单位退休人员支出。</w:t>
      </w:r>
    </w:p>
    <w:p w14:paraId="5227103A">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（十一）机关事业单位基本养老缴费支出</w:t>
      </w:r>
      <w:r>
        <w:rPr>
          <w:rFonts w:ascii="仿宋_GB2312" w:eastAsia="仿宋_GB2312" w:cs="仿宋_GB2312"/>
          <w:sz w:val="32"/>
          <w:szCs w:val="32"/>
        </w:rPr>
        <w:t>524.08</w:t>
      </w:r>
      <w:r>
        <w:rPr>
          <w:rFonts w:hint="eastAsia" w:ascii="仿宋_GB2312" w:eastAsia="仿宋_GB2312" w:cs="仿宋_GB2312"/>
          <w:sz w:val="32"/>
          <w:szCs w:val="32"/>
        </w:rPr>
        <w:t>万元。主要用于社会养老保险制度改革后，机关事业单位缴交基本养老保险支出。</w:t>
      </w:r>
    </w:p>
    <w:p w14:paraId="2A1E7F24">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（十二）</w:t>
      </w:r>
      <w:r>
        <w:rPr>
          <w:rFonts w:ascii="仿宋_GB2312" w:eastAsia="仿宋_GB2312" w:cs="仿宋_GB2312"/>
          <w:sz w:val="32"/>
          <w:szCs w:val="32"/>
        </w:rPr>
        <w:t>机关事业单位职业年金缴费支出12.77万元，主要用于机关事业单位职业年金缴费。</w:t>
      </w:r>
    </w:p>
    <w:p w14:paraId="4D507536">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（十三）行政单位医疗</w:t>
      </w:r>
      <w:r>
        <w:rPr>
          <w:rFonts w:ascii="仿宋_GB2312" w:eastAsia="仿宋_GB2312" w:cs="仿宋_GB2312"/>
          <w:sz w:val="32"/>
          <w:szCs w:val="32"/>
        </w:rPr>
        <w:t>116.71</w:t>
      </w:r>
      <w:r>
        <w:rPr>
          <w:rFonts w:hint="eastAsia" w:ascii="仿宋_GB2312" w:eastAsia="仿宋_GB2312" w:cs="仿宋_GB2312"/>
          <w:sz w:val="32"/>
          <w:szCs w:val="32"/>
        </w:rPr>
        <w:t>万元。主要用于行政机关人员医疗保险支出。</w:t>
      </w:r>
    </w:p>
    <w:p w14:paraId="40B64FBB">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（十四）事业单位医疗</w:t>
      </w:r>
      <w:r>
        <w:rPr>
          <w:rFonts w:ascii="仿宋_GB2312" w:eastAsia="仿宋_GB2312" w:cs="仿宋_GB2312"/>
          <w:sz w:val="32"/>
          <w:szCs w:val="32"/>
        </w:rPr>
        <w:t>64.30</w:t>
      </w:r>
      <w:r>
        <w:rPr>
          <w:rFonts w:hint="eastAsia" w:ascii="仿宋_GB2312" w:eastAsia="仿宋_GB2312" w:cs="仿宋_GB2312"/>
          <w:sz w:val="32"/>
          <w:szCs w:val="32"/>
        </w:rPr>
        <w:t>万元。主要用于事业单位人员医疗保险支出。</w:t>
      </w:r>
    </w:p>
    <w:p w14:paraId="519221BB">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（十五）公务员医疗补助</w:t>
      </w:r>
      <w:r>
        <w:rPr>
          <w:rFonts w:ascii="仿宋_GB2312" w:eastAsia="仿宋_GB2312" w:cs="仿宋_GB2312"/>
          <w:sz w:val="32"/>
          <w:szCs w:val="32"/>
        </w:rPr>
        <w:t>47.31</w:t>
      </w:r>
      <w:r>
        <w:rPr>
          <w:rFonts w:hint="eastAsia" w:ascii="仿宋_GB2312" w:eastAsia="仿宋_GB2312" w:cs="仿宋_GB2312"/>
          <w:sz w:val="32"/>
          <w:szCs w:val="32"/>
        </w:rPr>
        <w:t>万元。主要用于行政机关公务员医疗补助支出。</w:t>
      </w:r>
    </w:p>
    <w:p w14:paraId="35A1EE20">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（十六）其他行政事业单位医疗支出</w:t>
      </w:r>
      <w:r>
        <w:rPr>
          <w:rFonts w:ascii="仿宋_GB2312" w:eastAsia="仿宋_GB2312" w:cs="仿宋_GB2312"/>
          <w:sz w:val="32"/>
          <w:szCs w:val="32"/>
        </w:rPr>
        <w:t>37.24</w:t>
      </w:r>
      <w:r>
        <w:rPr>
          <w:rFonts w:hint="eastAsia" w:ascii="仿宋_GB2312" w:eastAsia="仿宋_GB2312" w:cs="仿宋_GB2312"/>
          <w:sz w:val="32"/>
          <w:szCs w:val="32"/>
        </w:rPr>
        <w:t>万元。主要用于事业单位人员医疗补助支出。</w:t>
      </w:r>
    </w:p>
    <w:p w14:paraId="25DA5D4D">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w:t>
      </w:r>
      <w:r>
        <w:rPr>
          <w:rFonts w:ascii="仿宋_GB2312" w:eastAsia="仿宋_GB2312" w:cs="仿宋_GB2312"/>
          <w:sz w:val="32"/>
          <w:szCs w:val="32"/>
        </w:rPr>
        <w:t>七</w:t>
      </w:r>
      <w:r>
        <w:rPr>
          <w:rFonts w:hint="eastAsia" w:ascii="仿宋_GB2312" w:eastAsia="仿宋_GB2312" w:cs="仿宋_GB2312"/>
          <w:sz w:val="32"/>
          <w:szCs w:val="32"/>
        </w:rPr>
        <w:t>）其他节能环保支出</w:t>
      </w:r>
      <w:r>
        <w:rPr>
          <w:rFonts w:ascii="仿宋_GB2312" w:eastAsia="仿宋_GB2312" w:cs="仿宋_GB2312"/>
          <w:sz w:val="32"/>
          <w:szCs w:val="32"/>
        </w:rPr>
        <w:t>2500</w:t>
      </w:r>
      <w:r>
        <w:rPr>
          <w:rFonts w:hint="eastAsia" w:ascii="仿宋_GB2312" w:eastAsia="仿宋_GB2312" w:cs="仿宋_GB2312"/>
          <w:sz w:val="32"/>
          <w:szCs w:val="32"/>
        </w:rPr>
        <w:t>万元。主要用于我市新能源建设配套充换电设施建设工作。</w:t>
      </w:r>
    </w:p>
    <w:p w14:paraId="4AC1C50A">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w:t>
      </w:r>
      <w:r>
        <w:rPr>
          <w:rFonts w:ascii="仿宋_GB2312" w:eastAsia="仿宋_GB2312" w:cs="仿宋_GB2312"/>
          <w:sz w:val="32"/>
          <w:szCs w:val="32"/>
        </w:rPr>
        <w:t>八</w:t>
      </w:r>
      <w:r>
        <w:rPr>
          <w:rFonts w:hint="eastAsia" w:ascii="仿宋_GB2312" w:eastAsia="仿宋_GB2312" w:cs="仿宋_GB2312"/>
          <w:sz w:val="32"/>
          <w:szCs w:val="32"/>
        </w:rPr>
        <w:t>）其他资源勘探业支出</w:t>
      </w:r>
      <w:r>
        <w:rPr>
          <w:rFonts w:ascii="仿宋_GB2312" w:eastAsia="仿宋_GB2312" w:cs="仿宋_GB2312"/>
          <w:sz w:val="32"/>
          <w:szCs w:val="32"/>
        </w:rPr>
        <w:t>2300</w:t>
      </w:r>
      <w:r>
        <w:rPr>
          <w:rFonts w:hint="eastAsia" w:ascii="仿宋_GB2312" w:eastAsia="仿宋_GB2312" w:cs="仿宋_GB2312"/>
          <w:sz w:val="32"/>
          <w:szCs w:val="32"/>
        </w:rPr>
        <w:t>万元。主要用于我市重点产业和重点项目紧缺人才引进资金。</w:t>
      </w:r>
    </w:p>
    <w:p w14:paraId="25DAD706">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w:t>
      </w:r>
      <w:r>
        <w:rPr>
          <w:rFonts w:ascii="仿宋_GB2312" w:eastAsia="仿宋_GB2312" w:cs="仿宋_GB2312"/>
          <w:sz w:val="32"/>
          <w:szCs w:val="32"/>
        </w:rPr>
        <w:t>九</w:t>
      </w:r>
      <w:r>
        <w:rPr>
          <w:rFonts w:hint="eastAsia" w:ascii="仿宋_GB2312" w:eastAsia="仿宋_GB2312" w:cs="仿宋_GB2312"/>
          <w:sz w:val="32"/>
          <w:szCs w:val="32"/>
        </w:rPr>
        <w:t>）化肥储备22万元。主要用于厦化公司重要物资储备工作。</w:t>
      </w:r>
    </w:p>
    <w:p w14:paraId="13DEEC78">
      <w:pPr>
        <w:tabs>
          <w:tab w:val="left" w:pos="7513"/>
        </w:tabs>
        <w:adjustRightInd w:val="0"/>
        <w:snapToGrid w:val="0"/>
        <w:spacing w:line="560" w:lineRule="exact"/>
        <w:ind w:firstLine="640" w:firstLineChars="200"/>
        <w:rPr>
          <w:rFonts w:ascii="黑体" w:eastAsia="黑体" w:cs="仿宋_GB2312"/>
          <w:sz w:val="32"/>
          <w:szCs w:val="32"/>
        </w:rPr>
      </w:pPr>
      <w:r>
        <w:rPr>
          <w:rFonts w:hint="eastAsia" w:ascii="黑体" w:eastAsia="黑体" w:cs="仿宋_GB2312"/>
          <w:sz w:val="32"/>
          <w:szCs w:val="32"/>
        </w:rPr>
        <w:t>三、政府性基金预算</w:t>
      </w:r>
      <w:r>
        <w:rPr>
          <w:rFonts w:hint="eastAsia" w:ascii="黑体" w:eastAsia="黑体" w:cs="仿宋_GB2312"/>
          <w:bCs/>
          <w:sz w:val="32"/>
          <w:szCs w:val="32"/>
        </w:rPr>
        <w:t>财政拨款</w:t>
      </w:r>
      <w:r>
        <w:rPr>
          <w:rFonts w:hint="eastAsia" w:ascii="黑体" w:eastAsia="黑体" w:cs="仿宋_GB2312"/>
          <w:sz w:val="32"/>
          <w:szCs w:val="32"/>
        </w:rPr>
        <w:t>支出情况</w:t>
      </w:r>
    </w:p>
    <w:p w14:paraId="5E80CC44">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2019年度政府性基金支出</w:t>
      </w:r>
      <w:r>
        <w:rPr>
          <w:rFonts w:ascii="仿宋_GB2312" w:eastAsia="仿宋_GB2312" w:cs="仿宋_GB2312"/>
          <w:sz w:val="32"/>
          <w:szCs w:val="32"/>
        </w:rPr>
        <w:t>0</w:t>
      </w:r>
      <w:r>
        <w:rPr>
          <w:rFonts w:hint="eastAsia" w:ascii="仿宋_GB2312" w:eastAsia="仿宋_GB2312" w:cs="仿宋_GB2312"/>
          <w:sz w:val="32"/>
          <w:szCs w:val="32"/>
        </w:rPr>
        <w:t>万元，</w:t>
      </w:r>
      <w:r>
        <w:rPr>
          <w:rFonts w:ascii="仿宋_GB2312" w:eastAsia="仿宋_GB2312" w:cs="仿宋_GB2312"/>
          <w:sz w:val="32"/>
          <w:szCs w:val="32"/>
        </w:rPr>
        <w:t>与</w:t>
      </w:r>
      <w:r>
        <w:rPr>
          <w:rFonts w:hint="eastAsia" w:ascii="仿宋_GB2312" w:eastAsia="仿宋_GB2312" w:cs="仿宋_GB2312"/>
          <w:sz w:val="32"/>
          <w:szCs w:val="32"/>
        </w:rPr>
        <w:t>2018年预算数</w:t>
      </w:r>
      <w:r>
        <w:rPr>
          <w:rFonts w:ascii="仿宋_GB2312" w:eastAsia="仿宋_GB2312" w:cs="仿宋_GB2312"/>
          <w:sz w:val="32"/>
          <w:szCs w:val="32"/>
        </w:rPr>
        <w:t>相同，</w:t>
      </w:r>
      <w:r>
        <w:rPr>
          <w:rFonts w:hint="eastAsia" w:ascii="仿宋_GB2312" w:eastAsia="仿宋_GB2312" w:cs="仿宋_GB2312"/>
          <w:sz w:val="32"/>
          <w:szCs w:val="32"/>
        </w:rPr>
        <w:t>增加（减少）</w:t>
      </w:r>
      <w:r>
        <w:rPr>
          <w:rFonts w:ascii="仿宋_GB2312" w:eastAsia="仿宋_GB2312" w:cs="仿宋_GB2312"/>
          <w:sz w:val="32"/>
          <w:szCs w:val="32"/>
        </w:rPr>
        <w:t>0</w:t>
      </w:r>
      <w:r>
        <w:rPr>
          <w:rFonts w:hint="eastAsia" w:ascii="仿宋_GB2312" w:eastAsia="仿宋_GB2312" w:cs="仿宋_GB2312"/>
          <w:sz w:val="32"/>
          <w:szCs w:val="32"/>
        </w:rPr>
        <w:t>万元，增长（下降）</w:t>
      </w:r>
      <w:r>
        <w:rPr>
          <w:rFonts w:ascii="仿宋_GB2312" w:eastAsia="仿宋_GB2312" w:cs="仿宋_GB2312"/>
          <w:sz w:val="32"/>
          <w:szCs w:val="32"/>
        </w:rPr>
        <w:t>0</w:t>
      </w:r>
      <w:r>
        <w:rPr>
          <w:rFonts w:hint="eastAsia" w:ascii="仿宋_GB2312" w:eastAsia="仿宋_GB2312" w:cs="仿宋_GB2312"/>
          <w:sz w:val="32"/>
          <w:szCs w:val="32"/>
        </w:rPr>
        <w:t>%，主要是由于2019年没有使用政府性基金预算拨款安排支出。</w:t>
      </w:r>
    </w:p>
    <w:p w14:paraId="355632F7">
      <w:pPr>
        <w:tabs>
          <w:tab w:val="left" w:pos="7513"/>
        </w:tabs>
        <w:adjustRightInd w:val="0"/>
        <w:snapToGrid w:val="0"/>
        <w:spacing w:line="560" w:lineRule="exact"/>
        <w:ind w:firstLine="640" w:firstLineChars="200"/>
        <w:rPr>
          <w:rFonts w:ascii="黑体" w:eastAsia="黑体" w:cs="宋体"/>
          <w:kern w:val="0"/>
          <w:sz w:val="32"/>
          <w:szCs w:val="32"/>
        </w:rPr>
      </w:pPr>
      <w:r>
        <w:rPr>
          <w:rFonts w:hint="eastAsia" w:ascii="黑体" w:eastAsia="黑体" w:cs="宋体"/>
          <w:kern w:val="0"/>
          <w:sz w:val="32"/>
          <w:szCs w:val="32"/>
        </w:rPr>
        <w:t>四、“三公”经费财政拨款预算情况</w:t>
      </w:r>
    </w:p>
    <w:p w14:paraId="038C7D7B">
      <w:pPr>
        <w:tabs>
          <w:tab w:val="left" w:pos="7513"/>
        </w:tabs>
        <w:adjustRightInd w:val="0"/>
        <w:snapToGrid w:val="0"/>
        <w:spacing w:line="560" w:lineRule="exact"/>
        <w:ind w:firstLine="640" w:firstLineChars="200"/>
        <w:rPr>
          <w:rFonts w:ascii="仿宋_GB2312" w:eastAsia="仿宋_GB2312" w:cs="仿宋_GB2312"/>
          <w:sz w:val="32"/>
          <w:szCs w:val="32"/>
        </w:rPr>
      </w:pPr>
      <w:r>
        <w:rPr>
          <w:rFonts w:ascii="仿宋_GB2312" w:eastAsia="仿宋_GB2312" w:cs="仿宋_GB2312"/>
          <w:kern w:val="0"/>
          <w:sz w:val="32"/>
          <w:szCs w:val="32"/>
        </w:rPr>
        <w:t>市发改委</w:t>
      </w:r>
      <w:r>
        <w:rPr>
          <w:rFonts w:hint="eastAsia" w:ascii="仿宋_GB2312" w:eastAsia="仿宋_GB2312" w:cs="仿宋_GB2312"/>
          <w:kern w:val="0"/>
          <w:sz w:val="32"/>
          <w:szCs w:val="32"/>
        </w:rPr>
        <w:t>部门2019年</w:t>
      </w:r>
      <w:r>
        <w:rPr>
          <w:rFonts w:hint="eastAsia" w:ascii="仿宋_GB2312" w:eastAsia="仿宋_GB2312" w:cs="宋体"/>
          <w:kern w:val="0"/>
          <w:sz w:val="32"/>
          <w:szCs w:val="32"/>
        </w:rPr>
        <w:t>“三公”经费财政拨款预算数为</w:t>
      </w:r>
      <w:r>
        <w:rPr>
          <w:rFonts w:ascii="仿宋_GB2312" w:eastAsia="仿宋_GB2312" w:cs="仿宋_GB2312"/>
          <w:sz w:val="32"/>
          <w:szCs w:val="32"/>
        </w:rPr>
        <w:t>85.39</w:t>
      </w:r>
      <w:r>
        <w:rPr>
          <w:rFonts w:hint="eastAsia" w:ascii="仿宋_GB2312" w:eastAsia="仿宋_GB2312" w:cs="宋体"/>
          <w:kern w:val="0"/>
          <w:sz w:val="32"/>
          <w:szCs w:val="32"/>
        </w:rPr>
        <w:t>万元，其中</w:t>
      </w:r>
      <w:r>
        <w:rPr>
          <w:rFonts w:hint="eastAsia" w:ascii="仿宋_GB2312" w:eastAsia="仿宋_GB2312" w:cs="仿宋_GB2312"/>
          <w:sz w:val="32"/>
          <w:szCs w:val="32"/>
        </w:rPr>
        <w:t>：因公出国（境）经费</w:t>
      </w:r>
      <w:r>
        <w:rPr>
          <w:rFonts w:ascii="仿宋_GB2312" w:eastAsia="仿宋_GB2312" w:cs="仿宋_GB2312"/>
          <w:sz w:val="32"/>
          <w:szCs w:val="32"/>
        </w:rPr>
        <w:t>49.39</w:t>
      </w:r>
      <w:r>
        <w:rPr>
          <w:rFonts w:hint="eastAsia" w:ascii="仿宋_GB2312" w:eastAsia="仿宋_GB2312" w:cs="仿宋_GB2312"/>
          <w:sz w:val="32"/>
          <w:szCs w:val="32"/>
        </w:rPr>
        <w:t>万元，公务接待费</w:t>
      </w:r>
      <w:r>
        <w:rPr>
          <w:rFonts w:ascii="仿宋_GB2312" w:eastAsia="仿宋_GB2312" w:cs="仿宋_GB2312"/>
          <w:sz w:val="32"/>
          <w:szCs w:val="32"/>
        </w:rPr>
        <w:t>26.70</w:t>
      </w:r>
      <w:r>
        <w:rPr>
          <w:rFonts w:hint="eastAsia" w:ascii="仿宋_GB2312" w:eastAsia="仿宋_GB2312" w:cs="仿宋_GB2312"/>
          <w:sz w:val="32"/>
          <w:szCs w:val="32"/>
        </w:rPr>
        <w:t>万元，公务用车购置及运行费</w:t>
      </w:r>
      <w:r>
        <w:rPr>
          <w:rFonts w:ascii="仿宋_GB2312" w:eastAsia="仿宋_GB2312" w:cs="仿宋_GB2312"/>
          <w:sz w:val="32"/>
          <w:szCs w:val="32"/>
        </w:rPr>
        <w:t>9.30</w:t>
      </w:r>
      <w:r>
        <w:rPr>
          <w:rFonts w:hint="eastAsia" w:ascii="仿宋_GB2312" w:eastAsia="仿宋_GB2312" w:cs="仿宋_GB2312"/>
          <w:sz w:val="32"/>
          <w:szCs w:val="32"/>
        </w:rPr>
        <w:t>万元。具体情况如下：</w:t>
      </w:r>
    </w:p>
    <w:p w14:paraId="7C9837A0">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楷体_GB2312" w:eastAsia="楷体_GB2312" w:cs="仿宋_GB2312"/>
          <w:sz w:val="32"/>
          <w:szCs w:val="32"/>
        </w:rPr>
        <w:t>（一）因公出国（境）经费</w:t>
      </w:r>
    </w:p>
    <w:p w14:paraId="29F3A74C">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2019年预算安排</w:t>
      </w:r>
      <w:r>
        <w:rPr>
          <w:rFonts w:hint="eastAsia" w:ascii="仿宋_GB2312" w:eastAsia="仿宋_GB2312" w:cs="宋体"/>
          <w:sz w:val="32"/>
          <w:szCs w:val="32"/>
        </w:rPr>
        <w:t>由市财政局和外办联合下达费用支出额度为</w:t>
      </w:r>
      <w:r>
        <w:rPr>
          <w:rFonts w:ascii="仿宋_GB2312" w:eastAsia="仿宋_GB2312" w:cs="仿宋_GB2312"/>
          <w:sz w:val="32"/>
          <w:szCs w:val="32"/>
        </w:rPr>
        <w:t>49.39</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宋体"/>
          <w:sz w:val="32"/>
          <w:szCs w:val="32"/>
        </w:rPr>
        <w:t>主要用于</w:t>
      </w:r>
      <w:r>
        <w:rPr>
          <w:rFonts w:hint="eastAsia" w:ascii="仿宋_GB2312" w:eastAsia="仿宋_GB2312" w:cs="仿宋_GB2312"/>
          <w:sz w:val="32"/>
          <w:szCs w:val="32"/>
        </w:rPr>
        <w:t>对外招商、</w:t>
      </w:r>
      <w:r>
        <w:rPr>
          <w:rFonts w:ascii="仿宋_GB2312" w:eastAsia="仿宋_GB2312" w:cs="仿宋_GB2312"/>
          <w:sz w:val="32"/>
          <w:szCs w:val="32"/>
        </w:rPr>
        <w:t>出国</w:t>
      </w:r>
      <w:r>
        <w:rPr>
          <w:rFonts w:hint="eastAsia" w:ascii="仿宋_GB2312" w:eastAsia="仿宋_GB2312" w:cs="仿宋_GB2312"/>
          <w:sz w:val="32"/>
          <w:szCs w:val="32"/>
        </w:rPr>
        <w:t>（境）考察学习培训。与</w:t>
      </w:r>
      <w:r>
        <w:rPr>
          <w:rFonts w:hint="eastAsia" w:ascii="仿宋_GB2312" w:eastAsia="仿宋_GB2312" w:cs="宋体"/>
          <w:bCs/>
          <w:sz w:val="32"/>
          <w:szCs w:val="32"/>
        </w:rPr>
        <w:t>上</w:t>
      </w:r>
      <w:r>
        <w:rPr>
          <w:rFonts w:hint="eastAsia" w:ascii="仿宋_GB2312" w:eastAsia="仿宋_GB2312" w:cs="仿宋_GB2312"/>
          <w:sz w:val="32"/>
          <w:szCs w:val="32"/>
        </w:rPr>
        <w:t>年预算相比下降</w:t>
      </w:r>
      <w:r>
        <w:rPr>
          <w:rFonts w:ascii="仿宋_GB2312" w:eastAsia="仿宋_GB2312" w:cs="仿宋_GB2312"/>
          <w:sz w:val="32"/>
          <w:szCs w:val="32"/>
        </w:rPr>
        <w:t>44.61</w:t>
      </w:r>
      <w:r>
        <w:rPr>
          <w:rFonts w:hint="eastAsia" w:ascii="仿宋_GB2312" w:eastAsia="仿宋_GB2312" w:cs="仿宋_GB2312"/>
          <w:sz w:val="32"/>
          <w:szCs w:val="32"/>
        </w:rPr>
        <w:t>%，主要原因是</w:t>
      </w:r>
      <w:r>
        <w:rPr>
          <w:rFonts w:ascii="仿宋_GB2312" w:eastAsia="仿宋_GB2312" w:cs="仿宋_GB2312"/>
          <w:sz w:val="32"/>
          <w:szCs w:val="32"/>
        </w:rPr>
        <w:t>严格控制出国</w:t>
      </w:r>
      <w:r>
        <w:rPr>
          <w:rFonts w:hint="eastAsia" w:ascii="仿宋_GB2312" w:eastAsia="仿宋_GB2312" w:cs="仿宋_GB2312"/>
          <w:sz w:val="32"/>
          <w:szCs w:val="32"/>
        </w:rPr>
        <w:t>（境）</w:t>
      </w:r>
      <w:r>
        <w:rPr>
          <w:rFonts w:ascii="仿宋_GB2312" w:eastAsia="仿宋_GB2312" w:cs="仿宋_GB2312"/>
          <w:sz w:val="32"/>
          <w:szCs w:val="32"/>
        </w:rPr>
        <w:t>费用支出，不超过上年预算数</w:t>
      </w:r>
      <w:r>
        <w:rPr>
          <w:rFonts w:hint="eastAsia" w:ascii="仿宋_GB2312" w:eastAsia="仿宋_GB2312" w:cs="仿宋_GB2312"/>
          <w:sz w:val="32"/>
          <w:szCs w:val="32"/>
        </w:rPr>
        <w:t>。</w:t>
      </w:r>
    </w:p>
    <w:p w14:paraId="601A87A1">
      <w:pPr>
        <w:tabs>
          <w:tab w:val="left" w:pos="7513"/>
        </w:tabs>
        <w:adjustRightInd w:val="0"/>
        <w:snapToGrid w:val="0"/>
        <w:spacing w:line="560" w:lineRule="exact"/>
        <w:ind w:firstLine="640" w:firstLineChars="200"/>
        <w:rPr>
          <w:rFonts w:ascii="楷体_GB2312" w:eastAsia="楷体_GB2312" w:cs="仿宋_GB2312"/>
          <w:sz w:val="32"/>
          <w:szCs w:val="32"/>
        </w:rPr>
      </w:pPr>
      <w:r>
        <w:rPr>
          <w:rFonts w:hint="eastAsia" w:ascii="楷体_GB2312" w:eastAsia="楷体_GB2312" w:cs="仿宋_GB2312"/>
          <w:sz w:val="32"/>
          <w:szCs w:val="32"/>
        </w:rPr>
        <w:t>（二）公务接待费</w:t>
      </w:r>
    </w:p>
    <w:p w14:paraId="42C631D6">
      <w:pPr>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宋体"/>
          <w:kern w:val="0"/>
          <w:sz w:val="32"/>
          <w:szCs w:val="32"/>
        </w:rPr>
        <w:t>2019年预算安排</w:t>
      </w:r>
      <w:r>
        <w:rPr>
          <w:rFonts w:ascii="仿宋_GB2312" w:eastAsia="仿宋_GB2312" w:cs="宋体"/>
          <w:kern w:val="0"/>
          <w:sz w:val="32"/>
          <w:szCs w:val="32"/>
        </w:rPr>
        <w:t>26.70</w:t>
      </w:r>
      <w:r>
        <w:rPr>
          <w:rFonts w:hint="eastAsia" w:ascii="仿宋_GB2312" w:eastAsia="仿宋_GB2312" w:cs="宋体"/>
          <w:kern w:val="0"/>
          <w:sz w:val="32"/>
          <w:szCs w:val="32"/>
        </w:rPr>
        <w:t>万元。</w:t>
      </w:r>
      <w:r>
        <w:rPr>
          <w:rFonts w:hint="eastAsia" w:ascii="仿宋_GB2312" w:eastAsia="仿宋_GB2312" w:cs="宋体"/>
          <w:sz w:val="32"/>
          <w:szCs w:val="32"/>
        </w:rPr>
        <w:t>主要用于上级单位检查指导调研、兄弟单位考察调研学习交流、招商引资等方面的接待活动。</w:t>
      </w:r>
      <w:r>
        <w:rPr>
          <w:rFonts w:hint="eastAsia" w:ascii="仿宋_GB2312" w:eastAsia="仿宋_GB2312" w:cs="宋体"/>
          <w:kern w:val="0"/>
          <w:sz w:val="32"/>
          <w:szCs w:val="32"/>
        </w:rPr>
        <w:t>与上年预算</w:t>
      </w:r>
      <w:r>
        <w:rPr>
          <w:rFonts w:hint="eastAsia" w:ascii="仿宋_GB2312" w:eastAsia="仿宋_GB2312" w:cs="仿宋_GB2312"/>
          <w:sz w:val="32"/>
          <w:szCs w:val="32"/>
        </w:rPr>
        <w:t>相比下降（增长）0%，主要原因是</w:t>
      </w:r>
      <w:r>
        <w:rPr>
          <w:rFonts w:ascii="仿宋_GB2312" w:eastAsia="仿宋_GB2312" w:cs="仿宋_GB2312"/>
          <w:sz w:val="32"/>
          <w:szCs w:val="32"/>
        </w:rPr>
        <w:t>：严格控制公务接待费支出，不超过上年预算数</w:t>
      </w:r>
      <w:r>
        <w:rPr>
          <w:rFonts w:hint="eastAsia" w:ascii="仿宋_GB2312" w:eastAsia="仿宋_GB2312" w:cs="仿宋_GB2312"/>
          <w:sz w:val="32"/>
          <w:szCs w:val="32"/>
        </w:rPr>
        <w:t>。</w:t>
      </w:r>
    </w:p>
    <w:p w14:paraId="05F9AA54">
      <w:pPr>
        <w:tabs>
          <w:tab w:val="left" w:pos="7513"/>
        </w:tabs>
        <w:adjustRightInd w:val="0"/>
        <w:snapToGrid w:val="0"/>
        <w:spacing w:line="560" w:lineRule="exact"/>
        <w:ind w:firstLine="640" w:firstLineChars="200"/>
        <w:rPr>
          <w:rFonts w:ascii="楷体_GB2312" w:eastAsia="楷体_GB2312" w:cs="仿宋_GB2312"/>
          <w:sz w:val="32"/>
          <w:szCs w:val="32"/>
        </w:rPr>
      </w:pPr>
      <w:r>
        <w:rPr>
          <w:rFonts w:hint="eastAsia" w:ascii="楷体_GB2312" w:eastAsia="楷体_GB2312" w:cs="仿宋_GB2312"/>
          <w:sz w:val="32"/>
          <w:szCs w:val="32"/>
        </w:rPr>
        <w:t>（三）公务用车购置及运行费</w:t>
      </w:r>
    </w:p>
    <w:p w14:paraId="68F9C6EC">
      <w:pPr>
        <w:tabs>
          <w:tab w:val="left" w:pos="7513"/>
        </w:tabs>
        <w:adjustRightInd w:val="0"/>
        <w:snapToGrid w:val="0"/>
        <w:spacing w:line="560" w:lineRule="exact"/>
        <w:ind w:firstLine="640" w:firstLineChars="200"/>
        <w:rPr>
          <w:rFonts w:ascii="仿宋_GB2312" w:eastAsia="仿宋_GB2312" w:cs="宋体"/>
          <w:kern w:val="0"/>
          <w:sz w:val="32"/>
          <w:szCs w:val="32"/>
        </w:rPr>
      </w:pPr>
      <w:r>
        <w:rPr>
          <w:rFonts w:hint="eastAsia" w:ascii="仿宋_GB2312" w:eastAsia="仿宋_GB2312" w:cs="仿宋_GB2312"/>
          <w:kern w:val="0"/>
          <w:sz w:val="32"/>
          <w:szCs w:val="32"/>
        </w:rPr>
        <w:t>2019年</w:t>
      </w:r>
      <w:r>
        <w:rPr>
          <w:rFonts w:hint="eastAsia" w:ascii="仿宋_GB2312" w:eastAsia="仿宋_GB2312" w:cs="宋体"/>
          <w:kern w:val="0"/>
          <w:sz w:val="32"/>
          <w:szCs w:val="32"/>
        </w:rPr>
        <w:t>预算安排</w:t>
      </w:r>
      <w:r>
        <w:rPr>
          <w:rFonts w:ascii="仿宋_GB2312" w:eastAsia="仿宋_GB2312" w:cs="宋体"/>
          <w:kern w:val="0"/>
          <w:sz w:val="32"/>
          <w:szCs w:val="32"/>
        </w:rPr>
        <w:t>9.30</w:t>
      </w:r>
      <w:r>
        <w:rPr>
          <w:rFonts w:hint="eastAsia" w:ascii="仿宋_GB2312" w:eastAsia="仿宋_GB2312" w:cs="宋体"/>
          <w:kern w:val="0"/>
          <w:sz w:val="32"/>
          <w:szCs w:val="32"/>
        </w:rPr>
        <w:t>万元，其中：公务用车运行费</w:t>
      </w:r>
      <w:r>
        <w:rPr>
          <w:rFonts w:ascii="仿宋_GB2312" w:eastAsia="仿宋_GB2312" w:cs="宋体"/>
          <w:kern w:val="0"/>
          <w:sz w:val="32"/>
          <w:szCs w:val="32"/>
        </w:rPr>
        <w:t>9.30</w:t>
      </w:r>
      <w:r>
        <w:rPr>
          <w:rFonts w:hint="eastAsia" w:ascii="仿宋_GB2312" w:eastAsia="仿宋_GB2312" w:cs="宋体"/>
          <w:kern w:val="0"/>
          <w:sz w:val="32"/>
          <w:szCs w:val="32"/>
        </w:rPr>
        <w:t>万元，主要用于公务用车燃油、维修、保险等方面支出</w:t>
      </w:r>
      <w:r>
        <w:rPr>
          <w:rFonts w:ascii="仿宋_GB2312" w:eastAsia="仿宋_GB2312" w:cs="宋体"/>
          <w:kern w:val="0"/>
          <w:sz w:val="32"/>
          <w:szCs w:val="32"/>
        </w:rPr>
        <w:t>。</w:t>
      </w:r>
      <w:r>
        <w:rPr>
          <w:rFonts w:hint="eastAsia" w:ascii="仿宋_GB2312" w:eastAsia="仿宋_GB2312" w:cs="宋体"/>
          <w:kern w:val="0"/>
          <w:sz w:val="32"/>
          <w:szCs w:val="32"/>
        </w:rPr>
        <w:t>与上年预算相比下降</w:t>
      </w:r>
      <w:r>
        <w:rPr>
          <w:rFonts w:ascii="仿宋_GB2312" w:eastAsia="仿宋_GB2312" w:cs="宋体"/>
          <w:kern w:val="0"/>
          <w:sz w:val="32"/>
          <w:szCs w:val="32"/>
        </w:rPr>
        <w:t>84.60</w:t>
      </w:r>
      <w:r>
        <w:rPr>
          <w:rFonts w:hint="eastAsia" w:ascii="仿宋_GB2312" w:eastAsia="仿宋_GB2312" w:cs="宋体"/>
          <w:kern w:val="0"/>
          <w:sz w:val="32"/>
          <w:szCs w:val="32"/>
        </w:rPr>
        <w:t>%，主要原因是</w:t>
      </w:r>
      <w:r>
        <w:rPr>
          <w:rFonts w:ascii="仿宋_GB2312" w:eastAsia="仿宋_GB2312" w:cs="宋体"/>
          <w:kern w:val="0"/>
          <w:sz w:val="32"/>
          <w:szCs w:val="32"/>
        </w:rPr>
        <w:t>：因公务用车制度改革，发改委部门原本19辆车只保留3辆，其余公务车辆除了报废之外均移交市机关事务管理局进行管理，由市机关事务管理局安排预算，本部门只申请3辆车的交通费定额预算</w:t>
      </w:r>
      <w:r>
        <w:rPr>
          <w:rFonts w:hint="eastAsia" w:ascii="仿宋_GB2312" w:eastAsia="仿宋_GB2312" w:cs="宋体"/>
          <w:sz w:val="32"/>
          <w:szCs w:val="32"/>
        </w:rPr>
        <w:t>；</w:t>
      </w:r>
      <w:r>
        <w:rPr>
          <w:rFonts w:hint="eastAsia" w:ascii="仿宋_GB2312" w:eastAsia="仿宋_GB2312" w:cs="宋体"/>
          <w:bCs/>
          <w:sz w:val="32"/>
          <w:szCs w:val="32"/>
        </w:rPr>
        <w:t>公务用车购置费</w:t>
      </w:r>
      <w:r>
        <w:rPr>
          <w:rFonts w:hint="eastAsia" w:ascii="仿宋_GB2312" w:eastAsia="仿宋_GB2312" w:cs="仿宋_GB2312"/>
          <w:sz w:val="32"/>
          <w:szCs w:val="32"/>
        </w:rPr>
        <w:t>0</w:t>
      </w:r>
      <w:r>
        <w:rPr>
          <w:rFonts w:hint="eastAsia" w:ascii="仿宋_GB2312" w:eastAsia="仿宋_GB2312" w:cs="宋体"/>
          <w:sz w:val="32"/>
          <w:szCs w:val="32"/>
        </w:rPr>
        <w:t>万元，</w:t>
      </w:r>
      <w:r>
        <w:rPr>
          <w:rFonts w:hint="eastAsia" w:ascii="仿宋_GB2312" w:eastAsia="仿宋_GB2312" w:cs="仿宋_GB2312"/>
          <w:sz w:val="32"/>
          <w:szCs w:val="32"/>
        </w:rPr>
        <w:t>与</w:t>
      </w:r>
      <w:r>
        <w:rPr>
          <w:rFonts w:hint="eastAsia" w:ascii="仿宋_GB2312" w:eastAsia="仿宋_GB2312" w:cs="宋体"/>
          <w:bCs/>
          <w:sz w:val="32"/>
          <w:szCs w:val="32"/>
        </w:rPr>
        <w:t>201</w:t>
      </w:r>
      <w:r>
        <w:rPr>
          <w:rFonts w:ascii="仿宋_GB2312" w:eastAsia="仿宋_GB2312" w:cs="宋体"/>
          <w:bCs/>
          <w:sz w:val="32"/>
          <w:szCs w:val="32"/>
        </w:rPr>
        <w:t>8</w:t>
      </w:r>
      <w:r>
        <w:rPr>
          <w:rFonts w:hint="eastAsia" w:ascii="仿宋_GB2312" w:eastAsia="仿宋_GB2312" w:cs="仿宋_GB2312"/>
          <w:sz w:val="32"/>
          <w:szCs w:val="32"/>
        </w:rPr>
        <w:t>年相比下降（增长）0%，主要原因是全市行政事业单位已停止公务车辆购置</w:t>
      </w:r>
      <w:r>
        <w:rPr>
          <w:rFonts w:hint="eastAsia" w:ascii="仿宋_GB2312" w:eastAsia="仿宋_GB2312" w:cs="宋体"/>
          <w:sz w:val="32"/>
          <w:szCs w:val="32"/>
        </w:rPr>
        <w:t>。</w:t>
      </w:r>
    </w:p>
    <w:p w14:paraId="7C57EBF0">
      <w:pPr>
        <w:tabs>
          <w:tab w:val="left" w:pos="7513"/>
        </w:tabs>
        <w:adjustRightInd w:val="0"/>
        <w:snapToGrid w:val="0"/>
        <w:spacing w:line="560" w:lineRule="exact"/>
        <w:ind w:firstLine="640" w:firstLineChars="200"/>
        <w:rPr>
          <w:rFonts w:ascii="黑体" w:eastAsia="黑体" w:cs="宋体"/>
          <w:kern w:val="0"/>
          <w:sz w:val="32"/>
          <w:szCs w:val="32"/>
        </w:rPr>
      </w:pPr>
      <w:r>
        <w:rPr>
          <w:rFonts w:hint="eastAsia" w:ascii="黑体" w:eastAsia="黑体" w:cs="宋体"/>
          <w:kern w:val="0"/>
          <w:sz w:val="32"/>
          <w:szCs w:val="32"/>
        </w:rPr>
        <w:t>五、其他重要事项的情况说明</w:t>
      </w:r>
    </w:p>
    <w:p w14:paraId="31B15552">
      <w:pPr>
        <w:tabs>
          <w:tab w:val="left" w:pos="7513"/>
        </w:tabs>
        <w:adjustRightInd w:val="0"/>
        <w:snapToGrid w:val="0"/>
        <w:spacing w:line="560" w:lineRule="exact"/>
        <w:ind w:firstLine="640" w:firstLineChars="200"/>
        <w:rPr>
          <w:rFonts w:ascii="楷体_GB2312" w:eastAsia="楷体_GB2312" w:cs="仿宋_GB2312"/>
          <w:sz w:val="32"/>
          <w:szCs w:val="32"/>
        </w:rPr>
      </w:pPr>
      <w:r>
        <w:rPr>
          <w:rFonts w:hint="eastAsia" w:ascii="楷体_GB2312" w:eastAsia="楷体_GB2312" w:cs="仿宋_GB2312"/>
          <w:sz w:val="32"/>
          <w:szCs w:val="32"/>
        </w:rPr>
        <w:t>（一）机关运行经费</w:t>
      </w:r>
    </w:p>
    <w:p w14:paraId="3DAACBAE">
      <w:pPr>
        <w:tabs>
          <w:tab w:val="left" w:pos="7513"/>
        </w:tabs>
        <w:adjustRightInd w:val="0"/>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2019年</w:t>
      </w:r>
      <w:r>
        <w:rPr>
          <w:rFonts w:ascii="仿宋_GB2312" w:eastAsia="仿宋_GB2312" w:cs="宋体"/>
          <w:kern w:val="0"/>
          <w:sz w:val="32"/>
          <w:szCs w:val="32"/>
        </w:rPr>
        <w:t>市发改委</w:t>
      </w:r>
      <w:r>
        <w:rPr>
          <w:rFonts w:hint="eastAsia" w:ascii="仿宋_GB2312" w:eastAsia="仿宋_GB2312" w:cs="宋体"/>
          <w:kern w:val="0"/>
          <w:sz w:val="32"/>
          <w:szCs w:val="32"/>
        </w:rPr>
        <w:t>部门的机关运行经费财政拨款预算</w:t>
      </w:r>
      <w:r>
        <w:rPr>
          <w:rFonts w:ascii="仿宋_GB2312" w:eastAsia="仿宋_GB2312" w:cs="宋体"/>
          <w:kern w:val="0"/>
          <w:sz w:val="32"/>
          <w:szCs w:val="32"/>
        </w:rPr>
        <w:t>675.30</w:t>
      </w:r>
      <w:r>
        <w:rPr>
          <w:rFonts w:hint="eastAsia" w:ascii="仿宋_GB2312" w:eastAsia="仿宋_GB2312" w:cs="宋体"/>
          <w:kern w:val="0"/>
          <w:sz w:val="32"/>
          <w:szCs w:val="32"/>
        </w:rPr>
        <w:t>万元，比2018年预算减少</w:t>
      </w:r>
      <w:r>
        <w:rPr>
          <w:rFonts w:ascii="仿宋_GB2312" w:eastAsia="仿宋_GB2312" w:cs="宋体"/>
          <w:kern w:val="0"/>
          <w:sz w:val="32"/>
          <w:szCs w:val="32"/>
        </w:rPr>
        <w:t>4.70</w:t>
      </w:r>
      <w:r>
        <w:rPr>
          <w:rFonts w:hint="eastAsia" w:ascii="仿宋_GB2312" w:eastAsia="仿宋_GB2312" w:cs="宋体"/>
          <w:kern w:val="0"/>
          <w:sz w:val="32"/>
          <w:szCs w:val="32"/>
        </w:rPr>
        <w:t>万元，下降</w:t>
      </w:r>
      <w:r>
        <w:rPr>
          <w:rFonts w:ascii="仿宋_GB2312" w:eastAsia="仿宋_GB2312" w:cs="宋体"/>
          <w:kern w:val="0"/>
          <w:sz w:val="32"/>
          <w:szCs w:val="32"/>
        </w:rPr>
        <w:t>0.69</w:t>
      </w:r>
      <w:r>
        <w:rPr>
          <w:rFonts w:hint="eastAsia" w:ascii="仿宋_GB2312" w:eastAsia="仿宋_GB2312" w:cs="宋体"/>
          <w:kern w:val="0"/>
          <w:sz w:val="32"/>
          <w:szCs w:val="32"/>
        </w:rPr>
        <w:t>%。</w:t>
      </w:r>
    </w:p>
    <w:p w14:paraId="55D4AF7D">
      <w:pPr>
        <w:tabs>
          <w:tab w:val="left" w:pos="7513"/>
        </w:tabs>
        <w:adjustRightInd w:val="0"/>
        <w:snapToGrid w:val="0"/>
        <w:spacing w:line="560" w:lineRule="exact"/>
        <w:ind w:firstLine="640" w:firstLineChars="200"/>
        <w:rPr>
          <w:rFonts w:ascii="楷体_GB2312" w:eastAsia="楷体_GB2312" w:cs="仿宋_GB2312"/>
          <w:sz w:val="32"/>
          <w:szCs w:val="32"/>
        </w:rPr>
      </w:pPr>
      <w:r>
        <w:rPr>
          <w:rFonts w:hint="eastAsia" w:ascii="楷体_GB2312" w:eastAsia="楷体_GB2312" w:cs="仿宋_GB2312"/>
          <w:sz w:val="32"/>
          <w:szCs w:val="32"/>
        </w:rPr>
        <w:t>（二）政府采购情况</w:t>
      </w:r>
    </w:p>
    <w:p w14:paraId="2C2F5838">
      <w:pPr>
        <w:tabs>
          <w:tab w:val="left" w:pos="7513"/>
        </w:tabs>
        <w:adjustRightInd w:val="0"/>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2019年</w:t>
      </w:r>
      <w:r>
        <w:rPr>
          <w:rFonts w:ascii="仿宋_GB2312" w:eastAsia="仿宋_GB2312" w:cs="宋体"/>
          <w:kern w:val="0"/>
          <w:sz w:val="32"/>
          <w:szCs w:val="32"/>
        </w:rPr>
        <w:t>市发改委</w:t>
      </w:r>
      <w:r>
        <w:rPr>
          <w:rFonts w:hint="eastAsia" w:ascii="仿宋_GB2312" w:eastAsia="仿宋_GB2312" w:cs="宋体"/>
          <w:kern w:val="0"/>
          <w:sz w:val="32"/>
          <w:szCs w:val="32"/>
        </w:rPr>
        <w:t>部门政府采购预算总额</w:t>
      </w:r>
      <w:r>
        <w:rPr>
          <w:rFonts w:ascii="仿宋_GB2312" w:eastAsia="仿宋_GB2312" w:cs="宋体"/>
          <w:kern w:val="0"/>
          <w:sz w:val="32"/>
          <w:szCs w:val="32"/>
        </w:rPr>
        <w:t>180.94</w:t>
      </w:r>
      <w:r>
        <w:rPr>
          <w:rFonts w:hint="eastAsia" w:ascii="仿宋_GB2312" w:eastAsia="仿宋_GB2312" w:cs="宋体"/>
          <w:kern w:val="0"/>
          <w:sz w:val="32"/>
          <w:szCs w:val="32"/>
        </w:rPr>
        <w:t>万元，其中：政府采购货物预算</w:t>
      </w:r>
      <w:r>
        <w:rPr>
          <w:rFonts w:ascii="仿宋_GB2312" w:eastAsia="仿宋_GB2312" w:cs="宋体"/>
          <w:kern w:val="0"/>
          <w:sz w:val="32"/>
          <w:szCs w:val="32"/>
        </w:rPr>
        <w:t>100.94</w:t>
      </w:r>
      <w:r>
        <w:rPr>
          <w:rFonts w:hint="eastAsia" w:ascii="仿宋_GB2312" w:eastAsia="仿宋_GB2312" w:cs="宋体"/>
          <w:kern w:val="0"/>
          <w:sz w:val="32"/>
          <w:szCs w:val="32"/>
        </w:rPr>
        <w:t>万元，政府采购工程预算</w:t>
      </w:r>
      <w:r>
        <w:rPr>
          <w:rFonts w:ascii="仿宋_GB2312" w:eastAsia="仿宋_GB2312" w:cs="宋体"/>
          <w:kern w:val="0"/>
          <w:sz w:val="32"/>
          <w:szCs w:val="32"/>
        </w:rPr>
        <w:t>0</w:t>
      </w:r>
      <w:r>
        <w:rPr>
          <w:rFonts w:hint="eastAsia" w:ascii="仿宋_GB2312" w:eastAsia="仿宋_GB2312" w:cs="宋体"/>
          <w:kern w:val="0"/>
          <w:sz w:val="32"/>
          <w:szCs w:val="32"/>
        </w:rPr>
        <w:t>万元，政府采购服务预算</w:t>
      </w:r>
      <w:r>
        <w:rPr>
          <w:rFonts w:ascii="仿宋_GB2312" w:eastAsia="仿宋_GB2312" w:cs="宋体"/>
          <w:kern w:val="0"/>
          <w:sz w:val="32"/>
          <w:szCs w:val="32"/>
        </w:rPr>
        <w:t>80</w:t>
      </w:r>
      <w:r>
        <w:rPr>
          <w:rFonts w:hint="eastAsia" w:ascii="仿宋_GB2312" w:eastAsia="仿宋_GB2312" w:cs="宋体"/>
          <w:kern w:val="0"/>
          <w:sz w:val="32"/>
          <w:szCs w:val="32"/>
        </w:rPr>
        <w:t>万元。</w:t>
      </w:r>
    </w:p>
    <w:p w14:paraId="66C5BA63">
      <w:pPr>
        <w:tabs>
          <w:tab w:val="left" w:pos="7513"/>
        </w:tabs>
        <w:adjustRightInd w:val="0"/>
        <w:snapToGrid w:val="0"/>
        <w:spacing w:line="560" w:lineRule="exact"/>
        <w:ind w:firstLine="640" w:firstLineChars="200"/>
        <w:rPr>
          <w:rFonts w:ascii="楷体_GB2312" w:eastAsia="楷体_GB2312" w:cs="仿宋_GB2312"/>
          <w:sz w:val="32"/>
          <w:szCs w:val="32"/>
        </w:rPr>
      </w:pPr>
      <w:r>
        <w:rPr>
          <w:rFonts w:hint="eastAsia" w:ascii="楷体_GB2312" w:eastAsia="楷体_GB2312" w:cs="仿宋_GB2312"/>
          <w:sz w:val="32"/>
          <w:szCs w:val="32"/>
        </w:rPr>
        <w:t>（三）国有资产占有使用情况</w:t>
      </w:r>
    </w:p>
    <w:p w14:paraId="47AA0DDC">
      <w:pPr>
        <w:tabs>
          <w:tab w:val="left" w:pos="7513"/>
        </w:tabs>
        <w:adjustRightInd w:val="0"/>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截</w:t>
      </w:r>
      <w:r>
        <w:rPr>
          <w:rFonts w:hint="eastAsia" w:ascii="仿宋_GB2312" w:eastAsia="仿宋_GB2312" w:cs="仿宋_GB2312"/>
          <w:sz w:val="32"/>
          <w:szCs w:val="32"/>
        </w:rPr>
        <w:t>至2018年12月31日，</w:t>
      </w:r>
      <w:r>
        <w:rPr>
          <w:rFonts w:ascii="仿宋_GB2312" w:eastAsia="仿宋_GB2312" w:cs="仿宋_GB2312"/>
          <w:sz w:val="32"/>
          <w:szCs w:val="32"/>
        </w:rPr>
        <w:t>市发改委</w:t>
      </w:r>
      <w:r>
        <w:rPr>
          <w:rFonts w:hint="eastAsia" w:ascii="仿宋_GB2312" w:eastAsia="仿宋_GB2312" w:cs="仿宋_GB2312"/>
          <w:sz w:val="32"/>
          <w:szCs w:val="32"/>
        </w:rPr>
        <w:t>部门所属各预算单位共有车辆</w:t>
      </w:r>
      <w:r>
        <w:rPr>
          <w:rFonts w:ascii="仿宋_GB2312" w:eastAsia="仿宋_GB2312" w:cs="仿宋_GB2312"/>
          <w:sz w:val="32"/>
          <w:szCs w:val="32"/>
        </w:rPr>
        <w:t>3</w:t>
      </w:r>
      <w:r>
        <w:rPr>
          <w:rFonts w:hint="eastAsia" w:ascii="仿宋_GB2312" w:eastAsia="仿宋_GB2312" w:cs="仿宋_GB2312"/>
          <w:sz w:val="32"/>
          <w:szCs w:val="32"/>
        </w:rPr>
        <w:t>辆，</w:t>
      </w:r>
      <w:r>
        <w:rPr>
          <w:rFonts w:ascii="仿宋_GB2312" w:eastAsia="仿宋_GB2312" w:cs="仿宋_GB2312"/>
          <w:sz w:val="32"/>
          <w:szCs w:val="32"/>
        </w:rPr>
        <w:t>单位价值50万以上通用设备0台（套）</w:t>
      </w:r>
      <w:r>
        <w:rPr>
          <w:rFonts w:hint="eastAsia" w:ascii="仿宋_GB2312" w:eastAsia="仿宋_GB2312" w:cs="仿宋_GB2312"/>
          <w:sz w:val="32"/>
          <w:szCs w:val="32"/>
        </w:rPr>
        <w:t>，</w:t>
      </w:r>
      <w:r>
        <w:rPr>
          <w:rFonts w:ascii="仿宋_GB2312" w:eastAsia="仿宋_GB2312" w:cs="仿宋_GB2312"/>
          <w:sz w:val="32"/>
          <w:szCs w:val="32"/>
        </w:rPr>
        <w:t>单位价值100万以上专用设备0台（套）</w:t>
      </w:r>
      <w:r>
        <w:rPr>
          <w:rFonts w:hint="eastAsia" w:ascii="仿宋_GB2312" w:eastAsia="仿宋_GB2312" w:cs="仿宋_GB2312"/>
          <w:sz w:val="32"/>
          <w:szCs w:val="32"/>
        </w:rPr>
        <w:t>。</w:t>
      </w:r>
    </w:p>
    <w:p w14:paraId="61E32E6F">
      <w:pPr>
        <w:tabs>
          <w:tab w:val="left" w:pos="7513"/>
        </w:tabs>
        <w:adjustRightInd w:val="0"/>
        <w:snapToGrid w:val="0"/>
        <w:spacing w:line="560" w:lineRule="exact"/>
        <w:ind w:firstLine="640" w:firstLineChars="200"/>
        <w:rPr>
          <w:rFonts w:ascii="楷体_GB2312" w:eastAsia="楷体_GB2312" w:cs="仿宋_GB2312"/>
          <w:sz w:val="32"/>
          <w:szCs w:val="32"/>
        </w:rPr>
      </w:pPr>
      <w:r>
        <w:rPr>
          <w:rFonts w:hint="eastAsia" w:ascii="楷体_GB2312" w:eastAsia="楷体_GB2312" w:cs="仿宋_GB2312"/>
          <w:sz w:val="32"/>
          <w:szCs w:val="32"/>
        </w:rPr>
        <w:t>（四）绩效目标设置情况</w:t>
      </w:r>
    </w:p>
    <w:p w14:paraId="428D0FC0">
      <w:pPr>
        <w:tabs>
          <w:tab w:val="left" w:pos="7513"/>
        </w:tabs>
        <w:adjustRightInd w:val="0"/>
        <w:snapToGrid w:val="0"/>
        <w:spacing w:line="560" w:lineRule="exact"/>
        <w:ind w:firstLine="640" w:firstLineChars="200"/>
        <w:rPr>
          <w:rFonts w:ascii="仿宋_GB2312" w:eastAsia="仿宋_GB2312" w:cs="宋体"/>
          <w:kern w:val="0"/>
          <w:sz w:val="32"/>
          <w:szCs w:val="32"/>
        </w:rPr>
      </w:pPr>
      <w:r>
        <w:rPr>
          <w:rFonts w:ascii="仿宋_GB2312" w:eastAsia="仿宋_GB2312" w:cs="宋体"/>
          <w:kern w:val="0"/>
          <w:sz w:val="32"/>
          <w:szCs w:val="32"/>
        </w:rPr>
        <w:t>市发改委</w:t>
      </w:r>
      <w:r>
        <w:rPr>
          <w:rFonts w:hint="eastAsia" w:ascii="仿宋_GB2312" w:eastAsia="仿宋_GB2312" w:cs="宋体"/>
          <w:kern w:val="0"/>
          <w:sz w:val="32"/>
          <w:szCs w:val="32"/>
        </w:rPr>
        <w:t>部门2019年实行绩效目标管理的项目</w:t>
      </w:r>
      <w:r>
        <w:rPr>
          <w:rFonts w:ascii="仿宋_GB2312" w:eastAsia="仿宋_GB2312" w:cs="宋体"/>
          <w:kern w:val="0"/>
          <w:sz w:val="32"/>
          <w:szCs w:val="32"/>
        </w:rPr>
        <w:t>11</w:t>
      </w:r>
      <w:r>
        <w:rPr>
          <w:rFonts w:hint="eastAsia" w:ascii="仿宋_GB2312" w:eastAsia="仿宋_GB2312" w:cs="宋体"/>
          <w:kern w:val="0"/>
          <w:sz w:val="32"/>
          <w:szCs w:val="32"/>
        </w:rPr>
        <w:t>个，涉及一般公共预算</w:t>
      </w:r>
      <w:r>
        <w:rPr>
          <w:rFonts w:ascii="仿宋_GB2312" w:eastAsia="仿宋_GB2312" w:cs="宋体"/>
          <w:kern w:val="0"/>
          <w:sz w:val="32"/>
          <w:szCs w:val="32"/>
        </w:rPr>
        <w:t>财政</w:t>
      </w:r>
      <w:r>
        <w:rPr>
          <w:rFonts w:hint="eastAsia" w:ascii="仿宋_GB2312" w:eastAsia="仿宋_GB2312" w:cs="宋体"/>
          <w:kern w:val="0"/>
          <w:sz w:val="32"/>
          <w:szCs w:val="32"/>
        </w:rPr>
        <w:t>拨款</w:t>
      </w:r>
      <w:r>
        <w:rPr>
          <w:rFonts w:ascii="仿宋_GB2312" w:eastAsia="仿宋_GB2312" w:cs="宋体"/>
          <w:kern w:val="0"/>
          <w:sz w:val="32"/>
          <w:szCs w:val="32"/>
        </w:rPr>
        <w:t>13322</w:t>
      </w:r>
      <w:r>
        <w:rPr>
          <w:rFonts w:hint="eastAsia" w:ascii="仿宋_GB2312" w:eastAsia="仿宋_GB2312" w:cs="宋体"/>
          <w:kern w:val="0"/>
          <w:sz w:val="32"/>
          <w:szCs w:val="32"/>
        </w:rPr>
        <w:t>万元。</w:t>
      </w:r>
    </w:p>
    <w:p w14:paraId="50E4C84C">
      <w:pPr>
        <w:tabs>
          <w:tab w:val="left" w:pos="7513"/>
        </w:tabs>
        <w:adjustRightInd w:val="0"/>
        <w:snapToGrid w:val="0"/>
        <w:spacing w:line="560" w:lineRule="exact"/>
        <w:jc w:val="center"/>
        <w:rPr>
          <w:rFonts w:ascii="黑体" w:eastAsia="黑体"/>
          <w:sz w:val="32"/>
          <w:szCs w:val="32"/>
        </w:rPr>
      </w:pPr>
      <w:r>
        <w:rPr>
          <w:rFonts w:hint="eastAsia" w:ascii="黑体" w:eastAsia="黑体"/>
          <w:sz w:val="32"/>
          <w:szCs w:val="32"/>
        </w:rPr>
        <w:t>第三部分  名词解释</w:t>
      </w:r>
    </w:p>
    <w:p w14:paraId="781184B1">
      <w:pPr>
        <w:tabs>
          <w:tab w:val="left" w:pos="7513"/>
        </w:tabs>
        <w:adjustRightInd w:val="0"/>
        <w:snapToGrid w:val="0"/>
        <w:spacing w:line="560" w:lineRule="exact"/>
        <w:ind w:firstLine="640" w:firstLineChars="200"/>
        <w:rPr>
          <w:rFonts w:ascii="仿宋_GB2312" w:eastAsia="仿宋_GB2312" w:cs="宋体"/>
          <w:kern w:val="0"/>
          <w:sz w:val="32"/>
          <w:szCs w:val="32"/>
        </w:rPr>
      </w:pPr>
      <w:r>
        <w:rPr>
          <w:rFonts w:hint="eastAsia" w:ascii="楷体_GB2312" w:eastAsia="楷体_GB2312" w:cs="仿宋_GB2312"/>
          <w:sz w:val="32"/>
          <w:szCs w:val="32"/>
        </w:rPr>
        <w:t>一、基本支出</w:t>
      </w:r>
      <w:r>
        <w:rPr>
          <w:rFonts w:hint="eastAsia" w:ascii="楷体_GB2312" w:eastAsia="楷体_GB2312" w:cs="宋体"/>
          <w:kern w:val="0"/>
          <w:sz w:val="32"/>
          <w:szCs w:val="32"/>
        </w:rPr>
        <w:t>：</w:t>
      </w:r>
      <w:r>
        <w:rPr>
          <w:rFonts w:hint="eastAsia" w:ascii="仿宋_GB2312" w:eastAsia="仿宋_GB2312" w:cs="宋体"/>
          <w:kern w:val="0"/>
          <w:sz w:val="32"/>
          <w:szCs w:val="32"/>
        </w:rPr>
        <w:t>指为保障机构正常运转、完成日常工作任务而发生的人员支出、对个人和家庭的补助支出和公用支出。</w:t>
      </w:r>
    </w:p>
    <w:p w14:paraId="45A78DAE">
      <w:pPr>
        <w:tabs>
          <w:tab w:val="left" w:pos="7513"/>
        </w:tabs>
        <w:adjustRightInd w:val="0"/>
        <w:snapToGrid w:val="0"/>
        <w:spacing w:line="560" w:lineRule="exact"/>
        <w:ind w:firstLine="640" w:firstLineChars="200"/>
        <w:rPr>
          <w:rFonts w:ascii="仿宋_GB2312" w:eastAsia="仿宋_GB2312" w:cs="宋体"/>
          <w:kern w:val="0"/>
          <w:sz w:val="32"/>
          <w:szCs w:val="32"/>
        </w:rPr>
      </w:pPr>
      <w:r>
        <w:rPr>
          <w:rFonts w:hint="eastAsia" w:ascii="楷体_GB2312" w:eastAsia="楷体_GB2312" w:cs="仿宋_GB2312"/>
          <w:sz w:val="32"/>
          <w:szCs w:val="32"/>
        </w:rPr>
        <w:t>二、项目支出</w:t>
      </w:r>
      <w:r>
        <w:rPr>
          <w:rFonts w:hint="eastAsia" w:ascii="楷体_GB2312" w:eastAsia="楷体_GB2312" w:cs="宋体"/>
          <w:kern w:val="0"/>
          <w:sz w:val="32"/>
          <w:szCs w:val="32"/>
        </w:rPr>
        <w:t>：</w:t>
      </w:r>
      <w:r>
        <w:rPr>
          <w:rFonts w:hint="eastAsia" w:ascii="仿宋_GB2312" w:eastAsia="仿宋_GB2312" w:cs="宋体"/>
          <w:kern w:val="0"/>
          <w:sz w:val="32"/>
          <w:szCs w:val="32"/>
        </w:rPr>
        <w:t>指在基本支出之外为完成特定行政任务和事业发展目标所发生的支出，</w:t>
      </w:r>
      <w:r>
        <w:rPr>
          <w:rFonts w:hint="eastAsia" w:ascii="仿宋_GB2312" w:eastAsia="仿宋_GB2312"/>
          <w:sz w:val="32"/>
          <w:szCs w:val="32"/>
        </w:rPr>
        <w:t>包括部门专项、发展经费和基建项目。</w:t>
      </w:r>
    </w:p>
    <w:p w14:paraId="38E9B48B">
      <w:pPr>
        <w:tabs>
          <w:tab w:val="left" w:pos="7513"/>
        </w:tabs>
        <w:adjustRightInd w:val="0"/>
        <w:snapToGrid w:val="0"/>
        <w:spacing w:line="560" w:lineRule="exact"/>
        <w:ind w:firstLine="640" w:firstLineChars="200"/>
        <w:rPr>
          <w:rFonts w:ascii="仿宋_GB2312" w:eastAsia="仿宋_GB2312" w:cs="宋体"/>
          <w:kern w:val="0"/>
          <w:sz w:val="32"/>
          <w:szCs w:val="32"/>
        </w:rPr>
      </w:pPr>
      <w:r>
        <w:rPr>
          <w:rFonts w:hint="eastAsia" w:ascii="楷体_GB2312" w:eastAsia="楷体_GB2312" w:cs="仿宋_GB2312"/>
          <w:sz w:val="32"/>
          <w:szCs w:val="32"/>
        </w:rPr>
        <w:t>三、“三公”经费</w:t>
      </w:r>
      <w:r>
        <w:rPr>
          <w:rFonts w:hint="eastAsia" w:ascii="楷体_GB2312" w:eastAsia="楷体_GB2312" w:cs="宋体"/>
          <w:kern w:val="0"/>
          <w:sz w:val="32"/>
          <w:szCs w:val="32"/>
        </w:rPr>
        <w:t>：</w:t>
      </w:r>
      <w:r>
        <w:rPr>
          <w:rFonts w:hint="eastAsia" w:ascii="仿宋_GB2312" w:eastAsia="仿宋_GB2312" w:cs="宋体"/>
          <w:kern w:val="0"/>
          <w:sz w:val="32"/>
          <w:szCs w:val="32"/>
        </w:rPr>
        <w:t>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4307651">
      <w:pPr>
        <w:tabs>
          <w:tab w:val="left" w:pos="7513"/>
        </w:tabs>
        <w:adjustRightInd w:val="0"/>
        <w:snapToGrid w:val="0"/>
        <w:spacing w:line="560" w:lineRule="exact"/>
        <w:ind w:firstLine="640" w:firstLineChars="200"/>
        <w:rPr>
          <w:rFonts w:ascii="仿宋_GB2312" w:eastAsia="仿宋_GB2312" w:cs="宋体"/>
          <w:kern w:val="0"/>
          <w:sz w:val="32"/>
          <w:szCs w:val="32"/>
        </w:rPr>
      </w:pPr>
      <w:r>
        <w:rPr>
          <w:rFonts w:hint="eastAsia" w:ascii="楷体_GB2312" w:eastAsia="楷体_GB2312" w:cs="仿宋_GB2312"/>
          <w:sz w:val="32"/>
          <w:szCs w:val="32"/>
        </w:rPr>
        <w:t>四、机关运行经费</w:t>
      </w:r>
      <w:r>
        <w:rPr>
          <w:rFonts w:hint="eastAsia" w:ascii="楷体_GB2312" w:eastAsia="楷体_GB2312" w:cs="宋体"/>
          <w:kern w:val="0"/>
          <w:sz w:val="32"/>
          <w:szCs w:val="32"/>
        </w:rPr>
        <w:t>：</w:t>
      </w:r>
      <w:r>
        <w:rPr>
          <w:rFonts w:hint="eastAsia" w:ascii="仿宋_GB2312" w:eastAsia="仿宋_GB2312" w:cs="宋体"/>
          <w:kern w:val="0"/>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1E3095E4">
      <w:pPr>
        <w:tabs>
          <w:tab w:val="left" w:pos="7513"/>
        </w:tabs>
        <w:adjustRightInd w:val="0"/>
        <w:snapToGrid w:val="0"/>
        <w:spacing w:line="560" w:lineRule="exact"/>
        <w:ind w:firstLine="640" w:firstLineChars="200"/>
        <w:rPr>
          <w:rFonts w:ascii="仿宋_GB2312" w:eastAsia="仿宋_GB2312" w:cs="宋体"/>
          <w:kern w:val="0"/>
          <w:sz w:val="32"/>
          <w:szCs w:val="32"/>
        </w:rPr>
      </w:pPr>
      <w:r>
        <w:rPr>
          <w:rFonts w:hint="eastAsia" w:ascii="楷体_GB2312" w:eastAsia="楷体_GB2312" w:cs="仿宋_GB2312"/>
          <w:sz w:val="32"/>
          <w:szCs w:val="32"/>
        </w:rPr>
        <w:t>五、其他名词解释</w:t>
      </w:r>
      <w:r>
        <w:rPr>
          <w:rFonts w:hint="eastAsia" w:ascii="仿宋_GB2312" w:eastAsia="仿宋_GB2312" w:cs="仿宋_GB2312"/>
          <w:sz w:val="32"/>
          <w:szCs w:val="32"/>
        </w:rPr>
        <w:t>。由各部门根据实际情况予以增加说明。</w:t>
      </w:r>
    </w:p>
    <w:p w14:paraId="6153A9A4">
      <w:pPr>
        <w:tabs>
          <w:tab w:val="left" w:pos="7513"/>
        </w:tabs>
        <w:adjustRightInd w:val="0"/>
        <w:snapToGrid w:val="0"/>
        <w:spacing w:line="560" w:lineRule="exact"/>
        <w:jc w:val="center"/>
        <w:rPr>
          <w:rFonts w:ascii="黑体" w:eastAsia="黑体"/>
          <w:sz w:val="32"/>
          <w:szCs w:val="32"/>
        </w:rPr>
      </w:pPr>
      <w:r>
        <w:rPr>
          <w:rFonts w:hint="eastAsia" w:ascii="黑体" w:eastAsia="黑体"/>
          <w:sz w:val="32"/>
          <w:szCs w:val="32"/>
        </w:rPr>
        <w:t>第四部分  2019年部门预算附表</w:t>
      </w:r>
    </w:p>
    <w:p w14:paraId="58BDA64C">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一、部门收支预算总体情况表</w:t>
      </w:r>
    </w:p>
    <w:p w14:paraId="60127619">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二、部门收入预算总体情况表</w:t>
      </w:r>
    </w:p>
    <w:p w14:paraId="5623B3B4">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三、部门支出预算总体情况表</w:t>
      </w:r>
    </w:p>
    <w:p w14:paraId="7CC6C1C2">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四、财政拨款收支预算总体情况表</w:t>
      </w:r>
    </w:p>
    <w:p w14:paraId="60C3E503">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w:t>
      </w:r>
      <w:r>
        <w:rPr>
          <w:rFonts w:hint="eastAsia"/>
        </w:rPr>
        <w:t xml:space="preserve"> </w:t>
      </w:r>
      <w:r>
        <w:rPr>
          <w:rFonts w:hint="eastAsia" w:ascii="仿宋_GB2312" w:eastAsia="仿宋_GB2312" w:cs="仿宋_GB2312"/>
          <w:sz w:val="32"/>
          <w:szCs w:val="32"/>
        </w:rPr>
        <w:t>一般公共预算支出情况表</w:t>
      </w:r>
    </w:p>
    <w:p w14:paraId="0EC5A323">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六、一般公共预算基本支出情况表（经济分类款级科目）</w:t>
      </w:r>
    </w:p>
    <w:p w14:paraId="0E85074B">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七、一般公共预算“三公”经费支出情况表</w:t>
      </w:r>
    </w:p>
    <w:p w14:paraId="3EF5DE2F">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八、政府性基金预算支出情况表</w:t>
      </w:r>
    </w:p>
    <w:p w14:paraId="4ACA1B22">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九、市对区转移支付支出预算表</w:t>
      </w:r>
    </w:p>
    <w:p w14:paraId="3BC4BEDC">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十、项目绩效目标表</w:t>
      </w:r>
    </w:p>
    <w:p w14:paraId="01DC980B">
      <w:pPr>
        <w:shd w:val="clear" w:color="auto" w:fill="FFFFFF"/>
        <w:tabs>
          <w:tab w:val="left" w:pos="7513"/>
        </w:tabs>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十一、部门整体支出绩效目标表</w:t>
      </w:r>
    </w:p>
    <w:sectPr>
      <w:footerReference r:id="rId3" w:type="default"/>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3DC0D">
    <w:pPr>
      <w:pStyle w:val="3"/>
      <w:jc w:val="center"/>
    </w:pPr>
    <w:r>
      <w:fldChar w:fldCharType="begin"/>
    </w:r>
    <w:r>
      <w:instrText xml:space="preserve">PAGE   \* MERGEFORMAT</w:instrText>
    </w:r>
    <w:r>
      <w:fldChar w:fldCharType="separate"/>
    </w:r>
    <w:r>
      <w:rPr>
        <w:lang w:val="zh-CN"/>
      </w:rPr>
      <w:t>11</w:t>
    </w:r>
    <w:r>
      <w:fldChar w:fldCharType="end"/>
    </w:r>
  </w:p>
  <w:p w14:paraId="08276D2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477C3C"/>
    <w:rsid w:val="001468B7"/>
    <w:rsid w:val="003362CE"/>
    <w:rsid w:val="00477C3C"/>
    <w:rsid w:val="32184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uiPriority w:val="0"/>
    <w:rPr>
      <w:kern w:val="0"/>
      <w:sz w:val="18"/>
      <w:szCs w:val="18"/>
    </w:rPr>
  </w:style>
  <w:style w:type="paragraph" w:styleId="3">
    <w:name w:val="footer"/>
    <w:basedOn w:val="1"/>
    <w:uiPriority w:val="0"/>
    <w:pPr>
      <w:tabs>
        <w:tab w:val="center" w:pos="4153"/>
        <w:tab w:val="right" w:pos="8306"/>
      </w:tabs>
      <w:snapToGrid w:val="0"/>
      <w:jc w:val="left"/>
    </w:pPr>
    <w:rPr>
      <w:kern w:val="0"/>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kern w:val="0"/>
      <w:sz w:val="18"/>
      <w:szCs w:val="18"/>
    </w:rPr>
  </w:style>
  <w:style w:type="character" w:styleId="7">
    <w:name w:val="Strong"/>
    <w:uiPriority w:val="0"/>
    <w:rPr>
      <w:b/>
      <w:bCs/>
    </w:rPr>
  </w:style>
  <w:style w:type="character" w:customStyle="1" w:styleId="8">
    <w:name w:val="占位符文本1"/>
    <w:uiPriority w:val="0"/>
    <w:rPr>
      <w:color w:val="808080"/>
    </w:rPr>
  </w:style>
  <w:style w:type="paragraph" w:customStyle="1" w:styleId="9">
    <w:name w:val="列出段落1"/>
    <w:basedOn w:val="1"/>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6457</Words>
  <Characters>6835</Characters>
  <Lines>50</Lines>
  <Paragraphs>14</Paragraphs>
  <TotalTime>0</TotalTime>
  <ScaleCrop>false</ScaleCrop>
  <LinksUpToDate>false</LinksUpToDate>
  <CharactersWithSpaces>6862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2019-01-17T07:43:00Z</dcterms:created>
  <dc:creator>Anonymous</dc:creator>
  <cp:lastModifiedBy>胡菠萝</cp:lastModifiedBy>
  <cp:lastPrinted>2017-01-17T08:49:00Z</cp:lastPrinted>
  <dcterms:modified xsi:type="dcterms:W3CDTF">2025-08-15T11:08:32Z</dcterms:modified>
  <dc:title>附件2-4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eyJoZGlkIjoiNmJlMmVjYjkyMGQwY2IyNDQzMmMzMjhhYTdjMTVjYTQiLCJ1c2VySWQiOiIyODc0MzExMDQifQ==</vt:lpwstr>
  </property>
  <property fmtid="{D5CDD505-2E9C-101B-9397-08002B2CF9AE}" pid="3" name="KSOProductBuildVer">
    <vt:lpwstr>2052-12.1.0.21915</vt:lpwstr>
  </property>
  <property fmtid="{D5CDD505-2E9C-101B-9397-08002B2CF9AE}" pid="4" name="ICV">
    <vt:lpwstr>0FEC67082DB64EE4AC8257479FA19068_12</vt:lpwstr>
  </property>
</Properties>
</file>