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1DF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1"/>
          <w:szCs w:val="21"/>
        </w:rPr>
      </w:pPr>
      <w:r>
        <w:rPr>
          <w:rFonts w:ascii="方正小标宋简体" w:hAnsi="方正小标宋简体" w:eastAsia="方正小标宋简体" w:cs="方正小标宋简体"/>
          <w:i w:val="0"/>
          <w:caps w:val="0"/>
          <w:color w:val="000000"/>
          <w:spacing w:val="0"/>
          <w:kern w:val="0"/>
          <w:sz w:val="44"/>
          <w:szCs w:val="44"/>
          <w:shd w:val="clear" w:fill="FAFCFF"/>
          <w:lang w:val="en-US" w:eastAsia="zh-CN" w:bidi="ar"/>
        </w:rPr>
        <w:t>厦门团市委</w:t>
      </w:r>
      <w:r>
        <w:rPr>
          <w:rFonts w:hint="eastAsia" w:ascii="方正小标宋简体" w:hAnsi="方正小标宋简体" w:eastAsia="方正小标宋简体" w:cs="方正小标宋简体"/>
          <w:i w:val="0"/>
          <w:caps w:val="0"/>
          <w:color w:val="000000"/>
          <w:spacing w:val="0"/>
          <w:kern w:val="0"/>
          <w:sz w:val="44"/>
          <w:szCs w:val="44"/>
          <w:shd w:val="clear" w:fill="FAFCFF"/>
          <w:lang w:val="en-US" w:eastAsia="zh-CN" w:bidi="ar"/>
        </w:rPr>
        <w:t>2019年部门预算说明</w:t>
      </w:r>
    </w:p>
    <w:p w14:paraId="1AB33421">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ascii="仿宋" w:hAnsi="仿宋" w:eastAsia="仿宋" w:cs="仿宋"/>
          <w:i w:val="0"/>
          <w:caps w:val="0"/>
          <w:color w:val="000000"/>
          <w:spacing w:val="0"/>
          <w:kern w:val="0"/>
          <w:sz w:val="32"/>
          <w:szCs w:val="32"/>
          <w:shd w:val="clear" w:fill="FAFCFF"/>
          <w:lang w:val="en-US" w:eastAsia="zh-CN" w:bidi="ar"/>
        </w:rPr>
        <w:t> </w:t>
      </w:r>
    </w:p>
    <w:p w14:paraId="3ABCD1D6">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b/>
          <w:bCs/>
          <w:i w:val="0"/>
          <w:caps w:val="0"/>
          <w:color w:val="000000"/>
          <w:spacing w:val="0"/>
          <w:sz w:val="21"/>
          <w:szCs w:val="21"/>
        </w:rPr>
      </w:pPr>
      <w:r>
        <w:rPr>
          <w:rFonts w:hint="eastAsia" w:ascii="仿宋" w:hAnsi="仿宋" w:eastAsia="仿宋" w:cs="仿宋"/>
          <w:b/>
          <w:bCs/>
          <w:i w:val="0"/>
          <w:caps w:val="0"/>
          <w:color w:val="000000"/>
          <w:spacing w:val="0"/>
          <w:kern w:val="0"/>
          <w:sz w:val="32"/>
          <w:szCs w:val="32"/>
          <w:shd w:val="clear" w:fill="FAFCFF"/>
          <w:lang w:val="en-US" w:eastAsia="zh-CN" w:bidi="ar"/>
        </w:rPr>
        <w:t>一、部门概况</w:t>
      </w:r>
    </w:p>
    <w:p w14:paraId="6F815AF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（一）团市委机关各部门的主要职责是：</w:t>
      </w:r>
    </w:p>
    <w:p w14:paraId="7CAF8229">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1.办公室：负责协调和承办团市委机关日常事务；负责团市委机关内外联系；围绕全市团的重要工作部署，组织调查研究，收集信息动态和编发内部信息；负责机关文秘文电、机要保密、来信来访、档案图书、安全保卫、值班接待工作；规划、协调和指导全市团内信息化建设，负责机关资产管理、财务管理和新政后勤事务；负责机关绩效考评工作；对团市委直属单位进行业务指导。</w:t>
      </w:r>
    </w:p>
    <w:p w14:paraId="12D9032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组织部：研究全市共青团组织、干部和团员队伍建设的政策、措施；指导全市团的基层组织、干部队伍和团员队伍建设；组织开展全市性先进基层团组织和优秀团员、优秀团干部的评选表彰工作；指导推动团的基层阵地建设和基层组织信息化工作；负责团费收缴、管理和团的基层组织统计工作；协助同级党委做好全市团干部教育培训工作；协助各区党委管理区级团委领导班子的有关工作；负责团市委机关及直属单位的机构编制、干部人事、工资等工作。</w:t>
      </w:r>
    </w:p>
    <w:p w14:paraId="6228559A">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3.宣传部：了解掌握团员青年的思想状况、提出全市团的思想政治工作的意见，组织开展全市团的思想政治教育活动；指导并组织团员青年理论学习与研究、提供和编写青年教育读物；知道开展健康有益的青少年文化、体育活动；负责厦门市青年运动史资料的收集、整理、研究和编写工作；指导团的网络新媒体舆论阵地建设和网络舆论引导工作；负责团市委的新闻宣传工作，抓好全市团的宣传队伍建设；运营维护团属网站和新媒体宣传平台；组织开展全市青年志愿服务活动。</w:t>
      </w:r>
    </w:p>
    <w:p w14:paraId="04053CFD">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4.统战部（外联部）：指导全市青年统战工作，联系和团结各族各界青年；拟订共青团、青年社会组织参与社会建设的总体规划和政策制度；加强对青年社会组织和新兴青年群体的联系服务和引导工作；负责对全市性青年社团的指导</w:t>
      </w:r>
      <w:bookmarkStart w:id="0" w:name="_GoBack"/>
      <w:bookmarkEnd w:id="0"/>
      <w:r>
        <w:rPr>
          <w:rFonts w:hint="eastAsia" w:ascii="仿宋" w:hAnsi="仿宋" w:eastAsia="仿宋" w:cs="仿宋"/>
          <w:i w:val="0"/>
          <w:caps w:val="0"/>
          <w:color w:val="000000"/>
          <w:spacing w:val="0"/>
          <w:kern w:val="0"/>
          <w:sz w:val="32"/>
          <w:szCs w:val="32"/>
          <w:shd w:val="clear" w:fill="FAFCFF"/>
          <w:lang w:val="en-US" w:eastAsia="zh-CN" w:bidi="ar"/>
        </w:rPr>
        <w:t>和监督管理；负责全市青少年的对外交往工作、开展同海外和港澳台地区青年组织、社团的友好交往；承担市青联秘书处的工作，负责联系市青联委员。</w:t>
      </w:r>
    </w:p>
    <w:p w14:paraId="62A05000">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5.青年发展部（市直机关团工委）：拟订促进青年发展的规划和政策措施，建立和完善青年服务体系；开展促进青年就业、创业、创新、创优和青年职业文明素质培养、技能培训提升等工作；协调、指导全市青少年开展生态环境保护工作；组织实施共青团助力扶贫开发工作；负责指导市直机关系统共青团工作，承担市直机关党工委布置的任务。</w:t>
      </w:r>
    </w:p>
    <w:p w14:paraId="3684A70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6.学少部：指导全市大、中专院校和中学团的工作；了解掌握青年学生的思想动态，贯彻党的教育方针，开展团的各项活动；指导全市大、中学生开展社会实践、勤工助学和课外科技、文化活动，做好大学生素质拓展工作；负责市学联秘书处的日常工作；指导学校团的基层建设；指导全市少先队工作；负责市少工委办公室的日常事务；指导少先队校外阵地建设，联系校外教育机构、社会组织和团属少年儿童活动场所；负责少先队宣传工作，对全市少先队报刊进行管理和指导；拟订全市少先队辅导员队伍建设的政策、措施。</w:t>
      </w:r>
    </w:p>
    <w:p w14:paraId="63EFC555">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7.维护青少年权益部：指导全市维护青少年权益工作；参与保护青少年健康成长的地方性法规的拟订并监督执行；会同有关部门做好预防青少年违法犯罪工作，协助政府做好未成年人保护工作，负责市综治办预防青少年违法犯罪工作领导小组办公室日常事务；维护青少年合法权益，为青少年健康成长提供服务；指导建设青少年事务社会工作专业人才队伍；指导全市各级团组织推动预防未成年人违法犯罪和未成年人保护工作；开展青少年合法权益的法律、法规宣传，构建青少年合法权益维护工作体系，协助与青少年利益相关的事务。</w:t>
      </w:r>
    </w:p>
    <w:p w14:paraId="1ECF1C8E">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仿宋" w:hAnsi="仿宋" w:eastAsia="仿宋" w:cs="仿宋"/>
          <w:i w:val="0"/>
          <w:caps w:val="0"/>
          <w:color w:val="000000"/>
          <w:spacing w:val="0"/>
          <w:kern w:val="0"/>
          <w:sz w:val="32"/>
          <w:szCs w:val="32"/>
          <w:shd w:val="clear" w:fill="FAFCFF"/>
          <w:lang w:val="en-US" w:eastAsia="zh-CN" w:bidi="ar"/>
        </w:rPr>
      </w:pPr>
      <w:r>
        <w:rPr>
          <w:rFonts w:hint="eastAsia" w:ascii="仿宋" w:hAnsi="仿宋" w:eastAsia="仿宋" w:cs="仿宋"/>
          <w:i w:val="0"/>
          <w:caps w:val="0"/>
          <w:color w:val="000000"/>
          <w:spacing w:val="0"/>
          <w:kern w:val="0"/>
          <w:sz w:val="32"/>
          <w:szCs w:val="32"/>
          <w:shd w:val="clear" w:fill="FAFCFF"/>
          <w:lang w:val="en-US" w:eastAsia="zh-CN" w:bidi="ar"/>
        </w:rPr>
        <w:t>8.机关党委：负责团市委机关和直属单位党的建设和精神文明建设；协同团市委机关有关部室做好机关内部建设、领导团市委机关及直属单位的工会、共青团和其他群众团体的工作。</w:t>
      </w:r>
    </w:p>
    <w:p w14:paraId="0AB7305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仿宋" w:hAnsi="仿宋" w:eastAsia="仿宋" w:cs="仿宋"/>
          <w:i w:val="0"/>
          <w:caps w:val="0"/>
          <w:color w:val="000000"/>
          <w:spacing w:val="0"/>
          <w:kern w:val="0"/>
          <w:sz w:val="32"/>
          <w:szCs w:val="32"/>
          <w:shd w:val="clear" w:fill="FAFCFF"/>
          <w:lang w:val="en-US" w:eastAsia="zh-CN" w:bidi="ar"/>
        </w:rPr>
      </w:pPr>
    </w:p>
    <w:p w14:paraId="32E32F2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仿宋" w:hAnsi="仿宋" w:eastAsia="仿宋" w:cs="仿宋"/>
          <w:i w:val="0"/>
          <w:caps w:val="0"/>
          <w:color w:val="000000"/>
          <w:spacing w:val="0"/>
          <w:kern w:val="0"/>
          <w:sz w:val="32"/>
          <w:szCs w:val="32"/>
          <w:shd w:val="clear" w:fill="FAFCFF"/>
          <w:lang w:val="en-US" w:eastAsia="zh-CN" w:bidi="ar"/>
        </w:rPr>
      </w:pPr>
    </w:p>
    <w:p w14:paraId="0314365D">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59" w:right="0" w:firstLine="8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（二）青少年宫各职能部（室）工作职责</w:t>
      </w:r>
    </w:p>
    <w:p w14:paraId="3691F425">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1.主任室：宫主任全面主持青少年宫工作，青少年宫副主任对主任负责，受主任委托代行主任部分职权。</w:t>
      </w:r>
    </w:p>
    <w:p w14:paraId="24D5FAB1">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2.办公室：协助宫主任处理日常行政事务；协调各部门工作，检查、督促计划、决议的执行情况；管理人事、文书及各类文秘档案工作；负责来宾来访的接待工作；</w:t>
      </w:r>
    </w:p>
    <w:p w14:paraId="118AF235">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3.培训一部：负责开展美术、摄影、书法、文学等项目的日常教育培训工作。</w:t>
      </w:r>
    </w:p>
    <w:p w14:paraId="76583410">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4.培训二部：负责开展物理、化学、生物、天象、语言、计算机及田径、球类、棋类、健身类等项目的日常教育培训工作。</w:t>
      </w:r>
    </w:p>
    <w:p w14:paraId="5262E896">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5.团队部：负责开展声乐、器乐及舞蹈、戏剧等项目的日常教育培训工作。</w:t>
      </w:r>
    </w:p>
    <w:p w14:paraId="3724DF4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6.社会活动部：开展广大青少年喜闻乐见的文娱活动和专业理论研讨工作。</w:t>
      </w:r>
    </w:p>
    <w:p w14:paraId="7F2A6AE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7.青年事业发展部：开展各类青年在职培训、技能培训、青年干部培训，开展青年就业创业指导，举办各类青年兴趣班等。</w:t>
      </w:r>
    </w:p>
    <w:p w14:paraId="2590573F">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8.少年事务部：管理少年军校基地；组织、指导各类少年儿童社团开展活动，承担儿童剧团的日常工作；承担市少先队学会日常工作，开展少先队工作理论研究。</w:t>
      </w:r>
    </w:p>
    <w:p w14:paraId="561B8BB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20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9.总务科：负责本单位后勤保障、基建工作，管理固定资产，物业，场馆，承担本单位安全保卫、消防，交通任务。</w:t>
      </w:r>
    </w:p>
    <w:p w14:paraId="760B9FDB">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（二）团市委预算单位基本情况</w:t>
      </w:r>
    </w:p>
    <w:p w14:paraId="5EEAFB12">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团市委包括1个行政机关及1个基层预算单位，其中：列入2019年部门预算编制范围的单位详细情况见下表:</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CFF"/>
        <w:tblLayout w:type="fixed"/>
        <w:tblCellMar>
          <w:top w:w="0" w:type="dxa"/>
          <w:left w:w="0" w:type="dxa"/>
          <w:bottom w:w="0" w:type="dxa"/>
          <w:right w:w="0" w:type="dxa"/>
        </w:tblCellMar>
      </w:tblPr>
      <w:tblGrid>
        <w:gridCol w:w="2561"/>
        <w:gridCol w:w="1699"/>
        <w:gridCol w:w="2131"/>
        <w:gridCol w:w="2131"/>
      </w:tblGrid>
      <w:tr w14:paraId="43FD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CFF"/>
          <w:tblCellMar>
            <w:top w:w="0" w:type="dxa"/>
            <w:left w:w="0" w:type="dxa"/>
            <w:bottom w:w="0" w:type="dxa"/>
            <w:right w:w="0" w:type="dxa"/>
          </w:tblCellMar>
        </w:tblPrEx>
        <w:trPr>
          <w:jc w:val="center"/>
        </w:trPr>
        <w:tc>
          <w:tcPr>
            <w:tcW w:w="2561" w:type="dxa"/>
            <w:tcBorders>
              <w:top w:val="single" w:color="auto" w:sz="8" w:space="0"/>
              <w:left w:val="single" w:color="auto" w:sz="8" w:space="0"/>
              <w:bottom w:val="single" w:color="auto" w:sz="8" w:space="0"/>
              <w:right w:val="single" w:color="auto" w:sz="8" w:space="0"/>
            </w:tcBorders>
            <w:shd w:val="clear" w:color="auto" w:fill="FAFCFF"/>
            <w:tcMar>
              <w:left w:w="108" w:type="dxa"/>
              <w:right w:w="108" w:type="dxa"/>
            </w:tcMar>
            <w:vAlign w:val="top"/>
          </w:tcPr>
          <w:p w14:paraId="79444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i w:val="0"/>
                <w:caps w:val="0"/>
                <w:color w:val="000000"/>
                <w:spacing w:val="0"/>
                <w:kern w:val="0"/>
                <w:sz w:val="32"/>
                <w:szCs w:val="32"/>
                <w:lang w:val="en-US" w:eastAsia="zh-CN" w:bidi="ar"/>
              </w:rPr>
              <w:t>单位名称</w:t>
            </w:r>
          </w:p>
        </w:tc>
        <w:tc>
          <w:tcPr>
            <w:tcW w:w="1699" w:type="dxa"/>
            <w:tcBorders>
              <w:top w:val="single" w:color="auto" w:sz="8" w:space="0"/>
              <w:left w:val="nil"/>
              <w:bottom w:val="single" w:color="auto" w:sz="8" w:space="0"/>
              <w:right w:val="single" w:color="auto" w:sz="8" w:space="0"/>
            </w:tcBorders>
            <w:shd w:val="clear" w:color="auto" w:fill="FAFCFF"/>
            <w:tcMar>
              <w:left w:w="108" w:type="dxa"/>
              <w:right w:w="108" w:type="dxa"/>
            </w:tcMar>
            <w:vAlign w:val="top"/>
          </w:tcPr>
          <w:p w14:paraId="1A8E0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i w:val="0"/>
                <w:caps w:val="0"/>
                <w:color w:val="000000"/>
                <w:spacing w:val="0"/>
                <w:kern w:val="0"/>
                <w:sz w:val="32"/>
                <w:szCs w:val="32"/>
                <w:lang w:val="en-US" w:eastAsia="zh-CN" w:bidi="ar"/>
              </w:rPr>
              <w:t>经费性质</w:t>
            </w:r>
          </w:p>
        </w:tc>
        <w:tc>
          <w:tcPr>
            <w:tcW w:w="2131" w:type="dxa"/>
            <w:tcBorders>
              <w:top w:val="single" w:color="auto" w:sz="8" w:space="0"/>
              <w:left w:val="nil"/>
              <w:bottom w:val="single" w:color="auto" w:sz="8" w:space="0"/>
              <w:right w:val="single" w:color="auto" w:sz="8" w:space="0"/>
            </w:tcBorders>
            <w:shd w:val="clear" w:color="auto" w:fill="FAFCFF"/>
            <w:tcMar>
              <w:left w:w="108" w:type="dxa"/>
              <w:right w:w="108" w:type="dxa"/>
            </w:tcMar>
            <w:vAlign w:val="top"/>
          </w:tcPr>
          <w:p w14:paraId="09624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i w:val="0"/>
                <w:caps w:val="0"/>
                <w:color w:val="000000"/>
                <w:spacing w:val="0"/>
                <w:kern w:val="0"/>
                <w:sz w:val="32"/>
                <w:szCs w:val="32"/>
                <w:lang w:val="en-US" w:eastAsia="zh-CN" w:bidi="ar"/>
              </w:rPr>
              <w:t>人员编制数</w:t>
            </w:r>
          </w:p>
        </w:tc>
        <w:tc>
          <w:tcPr>
            <w:tcW w:w="2131" w:type="dxa"/>
            <w:tcBorders>
              <w:top w:val="single" w:color="auto" w:sz="8" w:space="0"/>
              <w:left w:val="nil"/>
              <w:bottom w:val="single" w:color="auto" w:sz="8" w:space="0"/>
              <w:right w:val="single" w:color="auto" w:sz="8" w:space="0"/>
            </w:tcBorders>
            <w:shd w:val="clear" w:color="auto" w:fill="FAFCFF"/>
            <w:tcMar>
              <w:left w:w="108" w:type="dxa"/>
              <w:right w:w="108" w:type="dxa"/>
            </w:tcMar>
            <w:vAlign w:val="top"/>
          </w:tcPr>
          <w:p w14:paraId="07443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i w:val="0"/>
                <w:caps w:val="0"/>
                <w:color w:val="000000"/>
                <w:spacing w:val="0"/>
                <w:kern w:val="0"/>
                <w:sz w:val="32"/>
                <w:szCs w:val="32"/>
                <w:lang w:val="en-US" w:eastAsia="zh-CN" w:bidi="ar"/>
              </w:rPr>
              <w:t>在职人数</w:t>
            </w:r>
          </w:p>
        </w:tc>
      </w:tr>
      <w:tr w14:paraId="021F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61" w:type="dxa"/>
            <w:tcBorders>
              <w:top w:val="nil"/>
              <w:left w:val="single" w:color="auto" w:sz="8" w:space="0"/>
              <w:bottom w:val="single" w:color="auto" w:sz="8" w:space="0"/>
              <w:right w:val="single" w:color="auto" w:sz="8" w:space="0"/>
            </w:tcBorders>
            <w:shd w:val="clear" w:color="auto" w:fill="FAFCFF"/>
            <w:tcMar>
              <w:left w:w="108" w:type="dxa"/>
              <w:right w:w="108" w:type="dxa"/>
            </w:tcMar>
            <w:vAlign w:val="top"/>
          </w:tcPr>
          <w:p w14:paraId="797C3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共青团厦门市委员会机关</w:t>
            </w:r>
          </w:p>
        </w:tc>
        <w:tc>
          <w:tcPr>
            <w:tcW w:w="1699" w:type="dxa"/>
            <w:tcBorders>
              <w:top w:val="nil"/>
              <w:left w:val="nil"/>
              <w:bottom w:val="single" w:color="auto" w:sz="8" w:space="0"/>
              <w:right w:val="single" w:color="auto" w:sz="8" w:space="0"/>
            </w:tcBorders>
            <w:shd w:val="clear" w:color="auto" w:fill="FAFCFF"/>
            <w:tcMar>
              <w:left w:w="108" w:type="dxa"/>
              <w:right w:w="108" w:type="dxa"/>
            </w:tcMar>
            <w:vAlign w:val="top"/>
          </w:tcPr>
          <w:p w14:paraId="094C2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全额拨款</w:t>
            </w:r>
          </w:p>
        </w:tc>
        <w:tc>
          <w:tcPr>
            <w:tcW w:w="2131" w:type="dxa"/>
            <w:tcBorders>
              <w:top w:val="nil"/>
              <w:left w:val="nil"/>
              <w:bottom w:val="single" w:color="auto" w:sz="8" w:space="0"/>
              <w:right w:val="single" w:color="auto" w:sz="8" w:space="0"/>
            </w:tcBorders>
            <w:shd w:val="clear" w:color="auto" w:fill="FAFCFF"/>
            <w:tcMar>
              <w:left w:w="108" w:type="dxa"/>
              <w:right w:w="108" w:type="dxa"/>
            </w:tcMar>
            <w:vAlign w:val="top"/>
          </w:tcPr>
          <w:p w14:paraId="24080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23</w:t>
            </w:r>
          </w:p>
        </w:tc>
        <w:tc>
          <w:tcPr>
            <w:tcW w:w="2131" w:type="dxa"/>
            <w:tcBorders>
              <w:top w:val="nil"/>
              <w:left w:val="nil"/>
              <w:bottom w:val="single" w:color="auto" w:sz="8" w:space="0"/>
              <w:right w:val="single" w:color="auto" w:sz="8" w:space="0"/>
            </w:tcBorders>
            <w:shd w:val="clear" w:color="auto" w:fill="FAFCFF"/>
            <w:tcMar>
              <w:left w:w="108" w:type="dxa"/>
              <w:right w:w="108" w:type="dxa"/>
            </w:tcMar>
            <w:vAlign w:val="top"/>
          </w:tcPr>
          <w:p w14:paraId="7B66D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20</w:t>
            </w:r>
          </w:p>
        </w:tc>
      </w:tr>
      <w:tr w14:paraId="62E7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61" w:type="dxa"/>
            <w:tcBorders>
              <w:top w:val="nil"/>
              <w:left w:val="single" w:color="auto" w:sz="8" w:space="0"/>
              <w:bottom w:val="single" w:color="auto" w:sz="8" w:space="0"/>
              <w:right w:val="single" w:color="auto" w:sz="8" w:space="0"/>
            </w:tcBorders>
            <w:shd w:val="clear" w:color="auto" w:fill="FAFCFF"/>
            <w:tcMar>
              <w:left w:w="108" w:type="dxa"/>
              <w:right w:w="108" w:type="dxa"/>
            </w:tcMar>
            <w:vAlign w:val="top"/>
          </w:tcPr>
          <w:p w14:paraId="22504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厦门市青少年宫</w:t>
            </w:r>
          </w:p>
        </w:tc>
        <w:tc>
          <w:tcPr>
            <w:tcW w:w="1699" w:type="dxa"/>
            <w:tcBorders>
              <w:top w:val="nil"/>
              <w:left w:val="nil"/>
              <w:bottom w:val="single" w:color="auto" w:sz="8" w:space="0"/>
              <w:right w:val="single" w:color="auto" w:sz="8" w:space="0"/>
            </w:tcBorders>
            <w:shd w:val="clear" w:color="auto" w:fill="FAFCFF"/>
            <w:tcMar>
              <w:left w:w="108" w:type="dxa"/>
              <w:right w:w="108" w:type="dxa"/>
            </w:tcMar>
            <w:vAlign w:val="top"/>
          </w:tcPr>
          <w:p w14:paraId="44A6A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全额拨款</w:t>
            </w:r>
          </w:p>
        </w:tc>
        <w:tc>
          <w:tcPr>
            <w:tcW w:w="2131" w:type="dxa"/>
            <w:tcBorders>
              <w:top w:val="nil"/>
              <w:left w:val="nil"/>
              <w:bottom w:val="single" w:color="auto" w:sz="8" w:space="0"/>
              <w:right w:val="single" w:color="auto" w:sz="8" w:space="0"/>
            </w:tcBorders>
            <w:shd w:val="clear" w:color="auto" w:fill="FAFCFF"/>
            <w:tcMar>
              <w:left w:w="108" w:type="dxa"/>
              <w:right w:w="108" w:type="dxa"/>
            </w:tcMar>
            <w:vAlign w:val="top"/>
          </w:tcPr>
          <w:p w14:paraId="54F95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47</w:t>
            </w:r>
          </w:p>
        </w:tc>
        <w:tc>
          <w:tcPr>
            <w:tcW w:w="2131" w:type="dxa"/>
            <w:tcBorders>
              <w:top w:val="nil"/>
              <w:left w:val="nil"/>
              <w:bottom w:val="single" w:color="auto" w:sz="8" w:space="0"/>
              <w:right w:val="single" w:color="auto" w:sz="8" w:space="0"/>
            </w:tcBorders>
            <w:shd w:val="clear" w:color="auto" w:fill="FAFCFF"/>
            <w:tcMar>
              <w:left w:w="108" w:type="dxa"/>
              <w:right w:w="108" w:type="dxa"/>
            </w:tcMar>
            <w:vAlign w:val="top"/>
          </w:tcPr>
          <w:p w14:paraId="71261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32"/>
                <w:szCs w:val="32"/>
                <w:lang w:val="en-US" w:eastAsia="zh-CN" w:bidi="ar"/>
              </w:rPr>
              <w:t>44</w:t>
            </w:r>
          </w:p>
        </w:tc>
      </w:tr>
    </w:tbl>
    <w:p w14:paraId="71E2A3FB">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（三）团市委主要工作任务</w:t>
      </w:r>
    </w:p>
    <w:p w14:paraId="7BB01C0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2019年，团市委将聚焦主责主业，全面贯彻党的十九大、团的十八大精神，贯彻习近平总书记系列重要讲话精神，围绕中心、服务大局推动厦门共青团改革创新、从严治团。</w:t>
      </w:r>
    </w:p>
    <w:p w14:paraId="31929C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rPr>
      </w:pPr>
      <w:r>
        <w:rPr>
          <w:rFonts w:hint="eastAsia" w:ascii="楷体" w:eastAsia="楷体" w:cs="楷体"/>
          <w:color w:val="auto"/>
          <w:sz w:val="32"/>
          <w:szCs w:val="32"/>
        </w:rPr>
        <w:t>1.在凝聚青年上下功夫。</w:t>
      </w:r>
      <w:r>
        <w:rPr>
          <w:rFonts w:hint="eastAsia" w:ascii="仿宋" w:hAnsi="仿宋" w:eastAsia="仿宋" w:cs="仿宋"/>
          <w:color w:val="auto"/>
          <w:sz w:val="32"/>
          <w:szCs w:val="32"/>
        </w:rPr>
        <w:t>充分利用五四运动100周年、新中国成立70周年等重要节点，邀请各类好青年、党政领导、专家学者走进厦门共青团“青春讲堂”，开展形势政策宣讲、青春故事分享会，把党的理论和路线方针政策变成青少年的自觉行动，增强“四个意识”、坚定“四个自信”、做到“两个维护”。以评选市级青年五四奖章、“两红两优”、“向上向善”好青年为载体，推进青少年社会主义核心价值观培育和建设，挖掘、宣传一批青少年可亲、可信、可学的道德榜样。加强学校共青团思想引领，开展“青马工程”、“四进四信”、“彩虹人生”等宣传教育活动。各级少先队组织要持续开展“动感中队”、“争做新时代好队员”等特色品牌活动，实现活动教育功能化。传承“嘉庚精神”、“队歌文化”，召开少先队厦门市第六次代表大会，用身边人身边事感染青少年，讲好鹭岛青少年的青春故事。完善“厦门团建e家”信息化平台，建立厦门共青团网上基础数据库。</w:t>
      </w:r>
    </w:p>
    <w:p w14:paraId="678F01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2.在围绕大局上下功夫。</w:t>
      </w:r>
      <w:r>
        <w:rPr>
          <w:rFonts w:hint="eastAsia" w:ascii="仿宋" w:hAnsi="仿宋" w:eastAsia="仿宋" w:cs="仿宋"/>
          <w:color w:val="auto"/>
          <w:sz w:val="32"/>
          <w:szCs w:val="32"/>
        </w:rPr>
        <w:t>围绕经济中心，</w:t>
      </w:r>
      <w:r>
        <w:rPr>
          <w:rFonts w:eastAsia="仿宋"/>
          <w:color w:val="auto"/>
          <w:sz w:val="32"/>
          <w:szCs w:val="32"/>
        </w:rPr>
        <w:t>在各级在建重点工程、重点项目上</w:t>
      </w:r>
      <w:r>
        <w:rPr>
          <w:rFonts w:hint="eastAsia" w:eastAsia="仿宋"/>
          <w:color w:val="auto"/>
          <w:sz w:val="32"/>
          <w:szCs w:val="32"/>
        </w:rPr>
        <w:t>，突出“青字号”品牌社会功能，</w:t>
      </w:r>
      <w:r>
        <w:rPr>
          <w:rFonts w:hint="eastAsia" w:ascii="仿宋" w:hAnsi="仿宋" w:eastAsia="仿宋" w:cs="仿宋"/>
          <w:color w:val="auto"/>
          <w:sz w:val="32"/>
          <w:szCs w:val="32"/>
        </w:rPr>
        <w:t>引导青年积极投身经济建设主战场，参与社会治理。加强青年志愿服务，传承“小白鹭志愿服务队”，开展规范化、标准化、系统化的志愿服务培训，努力打造一支规模化、社会化、专业化的青年志愿者队伍。巩固青年志愿者品牌项目，继续为文明城市创建、马拉松赛等党政中心工作和大型赛事提供青年志愿服务。立足厦门对台区位优势，传承创新两岸青少年交流品牌，深化“两岸大学校园歌手邀请赛”等青少年品牌交流活动。加强与香港、澳门青年的交流联系，参与闽港澳青少年交流计划，举办并参与“三门青年论坛”。主动融入“一带一路”倡议，通过提升共青团自组团能力，进一步巩固“一带一路，青年先行”主题外事活动。</w:t>
      </w:r>
    </w:p>
    <w:p w14:paraId="6CDEB70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3.在服务青年上下功夫。</w:t>
      </w:r>
      <w:r>
        <w:rPr>
          <w:rFonts w:hint="eastAsia" w:ascii="仿宋" w:hAnsi="仿宋" w:eastAsia="仿宋" w:cs="仿宋"/>
          <w:color w:val="auto"/>
          <w:sz w:val="32"/>
          <w:szCs w:val="32"/>
        </w:rPr>
        <w:t>聚焦乡村振兴，加强农村青年创业培训，挖掘一批创业项目和创业带头人。聚焦精准扶贫，充分发挥市海峡青少年发展基金会作用，充分发挥市海峡青少年发展基金会作用，做好困难青少年群体帮扶工作，推广“希望小屋”、“春华希望成长基金”等工作项目，关注帮扶农村留守儿童、进城农民工子女、残疾青少年、事实孤儿等困难青少年群体。</w:t>
      </w:r>
      <w:r>
        <w:rPr>
          <w:rFonts w:eastAsia="仿宋"/>
          <w:color w:val="auto"/>
          <w:sz w:val="32"/>
          <w:szCs w:val="32"/>
        </w:rPr>
        <w:t>积极维护青少年的合法权益，推动青少年社会工作服务纳入政府购买服务重点支持范围。开展安全自护、禁毒防艾、法治宣传等方面知识传播。</w:t>
      </w:r>
    </w:p>
    <w:p w14:paraId="5E9E8E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4.在从严治团上下功夫。</w:t>
      </w:r>
      <w:r>
        <w:rPr>
          <w:rFonts w:hint="eastAsia" w:ascii="仿宋" w:hAnsi="仿宋" w:eastAsia="仿宋" w:cs="仿宋"/>
          <w:color w:val="auto"/>
          <w:sz w:val="32"/>
          <w:szCs w:val="32"/>
        </w:rPr>
        <w:t>积极推进其他领域改革。积极贯彻落实团中央关于青联、学联、高校、中学、少先队改革方案，在团省委的具体改革措施指导下，推动本市改革相关工作。突出学校共青团源头性地位，抓好三个环节，即打牢少先队工作基础、抓好中学共青团建设、加强高校共青团工作。要履行好全团带队职责，改进团前教育和推优入团工作，严把团员入口关，优化团青比例，强化入团仪式，推动全体团员成为注册青年志愿者。扩大新兴领域团的组织覆盖，抓好非公有制企业、新社会组织、园区、互联网行业团建工作。增强对自由职业者、归国留学青年等新兴青年群体的黏性，办好青联换届，发挥青联社会组织界别作用，培养好重要青年社会组织负责人。加强对共青团干部队伍的培训。控制团员增量，规范入团程序，严格团员标准。</w:t>
      </w:r>
    </w:p>
    <w:p w14:paraId="5EE63E68">
      <w:pPr>
        <w:rPr>
          <w:rFonts w:ascii="仿宋" w:eastAsia="仿宋" w:cs="仿宋"/>
          <w:color w:val="000000"/>
          <w:sz w:val="32"/>
          <w:szCs w:val="32"/>
        </w:rPr>
      </w:pPr>
    </w:p>
    <w:p w14:paraId="532AE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00" w:lineRule="atLeast"/>
        <w:ind w:left="0" w:right="0" w:firstLine="1616" w:firstLineChars="503"/>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第二部分2019年部门预算说明</w:t>
      </w:r>
    </w:p>
    <w:p w14:paraId="1E18D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00" w:lineRule="atLeast"/>
        <w:ind w:left="0" w:right="0" w:firstLine="640"/>
        <w:jc w:val="left"/>
        <w:rPr>
          <w:rFonts w:hint="eastAsia" w:ascii="宋体" w:hAnsi="宋体" w:eastAsia="宋体" w:cs="宋体"/>
          <w:b w:val="0"/>
          <w:bCs w:val="0"/>
          <w:i w:val="0"/>
          <w:caps w:val="0"/>
          <w:color w:val="000000"/>
          <w:spacing w:val="0"/>
          <w:sz w:val="21"/>
          <w:szCs w:val="21"/>
        </w:rPr>
      </w:pPr>
      <w:r>
        <w:rPr>
          <w:rFonts w:hint="eastAsia" w:ascii="仿宋" w:hAnsi="仿宋" w:eastAsia="仿宋" w:cs="仿宋"/>
          <w:b/>
          <w:bCs/>
          <w:i w:val="0"/>
          <w:caps w:val="0"/>
          <w:color w:val="000000"/>
          <w:spacing w:val="0"/>
          <w:kern w:val="0"/>
          <w:sz w:val="32"/>
          <w:szCs w:val="32"/>
          <w:shd w:val="clear" w:fill="FFFFFF"/>
          <w:lang w:val="en-US" w:eastAsia="zh-CN" w:bidi="ar"/>
        </w:rPr>
        <w:t>一．</w:t>
      </w:r>
      <w:r>
        <w:rPr>
          <w:rFonts w:hint="eastAsia" w:ascii="仿宋" w:hAnsi="仿宋" w:eastAsia="仿宋" w:cs="仿宋"/>
          <w:b w:val="0"/>
          <w:bCs w:val="0"/>
          <w:i w:val="0"/>
          <w:caps w:val="0"/>
          <w:color w:val="000000"/>
          <w:spacing w:val="0"/>
          <w:kern w:val="0"/>
          <w:sz w:val="32"/>
          <w:szCs w:val="32"/>
          <w:shd w:val="clear" w:fill="FFFFFF"/>
          <w:lang w:val="en-US" w:eastAsia="zh-CN" w:bidi="ar"/>
        </w:rPr>
        <w:t>2019年团市委预算收支总体情况</w:t>
      </w:r>
    </w:p>
    <w:p w14:paraId="399FC720">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根据预算管理的有关规定，团市委的全部收入和支出均纳入部门预算管理。</w:t>
      </w:r>
    </w:p>
    <w:p w14:paraId="7FB88665">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（一）部门2019年收入预算为3399.65万元，比2018年预算数增加213.35万元，增长6.6％，具体情况如下：</w:t>
      </w:r>
    </w:p>
    <w:p w14:paraId="3BEF2A4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1.财政拨款收入2612.41万元，其中一般公共预算拨款收入2612.41万元，政府性基金拨款收入0万元；</w:t>
      </w:r>
    </w:p>
    <w:p w14:paraId="67F044E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2.事业单位经营收入787.24万元；</w:t>
      </w:r>
    </w:p>
    <w:p w14:paraId="29E2292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（二）部门2019年支出预算为3399.65万元，比2018年预算数增加213.35万元，增长6.6％，具体情况如下：</w:t>
      </w:r>
    </w:p>
    <w:p w14:paraId="1741F9B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1.基本支出2290.41万元，其中，人员支出1675.18万元，公用支出615.23万元；</w:t>
      </w:r>
    </w:p>
    <w:p w14:paraId="573A097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2.项目支出322万元；</w:t>
      </w:r>
    </w:p>
    <w:p w14:paraId="07D19342">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3.事业单位经营支出787.24万元。</w:t>
      </w:r>
    </w:p>
    <w:p w14:paraId="7A28B6BE">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二．一般公共预算财政拨款支出预算情况</w:t>
      </w:r>
    </w:p>
    <w:p w14:paraId="1D76CFA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2019年度一般公共预算支出2612.41万元，比2018年预算数增加213.35万元，增长6.6%，主要是由于人员增加。支出项目(按项级科目分类统计)包括： </w:t>
      </w:r>
    </w:p>
    <w:p w14:paraId="40537BD7">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宋体"/>
          <w:kern w:val="0"/>
          <w:sz w:val="32"/>
          <w:szCs w:val="32"/>
        </w:rPr>
      </w:pPr>
      <w:r>
        <w:rPr>
          <w:rFonts w:hint="eastAsia" w:ascii="仿宋" w:hAnsi="仿宋" w:eastAsia="仿宋" w:cs="仿宋"/>
          <w:kern w:val="0"/>
          <w:sz w:val="32"/>
          <w:szCs w:val="32"/>
          <w:shd w:val="clear" w:color="auto" w:fill="FFFFFF"/>
        </w:rPr>
        <w:t>行政运行（项级科目）</w:t>
      </w:r>
      <w:r>
        <w:rPr>
          <w:rFonts w:hint="eastAsia" w:ascii="仿宋" w:hAnsi="仿宋" w:eastAsia="仿宋" w:cs="仿宋"/>
          <w:kern w:val="0"/>
          <w:sz w:val="32"/>
          <w:szCs w:val="32"/>
          <w:shd w:val="clear" w:color="auto" w:fill="FFFFFF"/>
          <w:lang w:val="en-US" w:eastAsia="zh-CN"/>
        </w:rPr>
        <w:t>693.54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宋体"/>
          <w:kern w:val="0"/>
          <w:sz w:val="32"/>
          <w:szCs w:val="32"/>
        </w:rPr>
        <w:t>主要用于人员经费支出以及保障机构正常运转、完成日常工作任务的日常公用经费支出。</w:t>
      </w:r>
    </w:p>
    <w:p w14:paraId="4D32249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right="0" w:firstLine="640" w:firstLineChars="200"/>
        <w:jc w:val="left"/>
        <w:rPr>
          <w:rFonts w:hint="eastAsia" w:ascii="宋体" w:hAnsi="宋体" w:eastAsia="宋体" w:cs="宋体"/>
          <w:i w:val="0"/>
          <w:caps w:val="0"/>
          <w:color w:val="000000"/>
          <w:spacing w:val="0"/>
          <w:sz w:val="21"/>
          <w:szCs w:val="21"/>
        </w:rPr>
      </w:pPr>
      <w:r>
        <w:rPr>
          <w:rFonts w:hint="eastAsia" w:ascii="仿宋" w:hAnsi="仿宋" w:eastAsia="仿宋" w:cs="仿宋"/>
          <w:kern w:val="0"/>
          <w:sz w:val="32"/>
          <w:szCs w:val="32"/>
          <w:shd w:val="clear" w:color="auto" w:fill="FFFFFF"/>
        </w:rPr>
        <w:t>一般行政管理事务（项级科目）</w:t>
      </w:r>
      <w:r>
        <w:rPr>
          <w:rFonts w:hint="eastAsia" w:ascii="仿宋" w:hAnsi="仿宋" w:eastAsia="仿宋" w:cs="仿宋"/>
          <w:kern w:val="0"/>
          <w:sz w:val="32"/>
          <w:szCs w:val="32"/>
          <w:shd w:val="clear" w:color="auto" w:fill="FFFFFF"/>
          <w:lang w:val="en-US" w:eastAsia="zh-CN"/>
        </w:rPr>
        <w:t>238</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i w:val="0"/>
          <w:caps w:val="0"/>
          <w:color w:val="000000"/>
          <w:spacing w:val="0"/>
          <w:kern w:val="0"/>
          <w:sz w:val="32"/>
          <w:szCs w:val="32"/>
          <w:shd w:val="clear" w:fill="FAFCFF"/>
          <w:lang w:val="en-US" w:eastAsia="zh-CN" w:bidi="ar"/>
        </w:rPr>
        <w:t>主要用于主要项目包括基层团建及非公团建工作经费、共青团品牌工作活动组织经费、五四系列活动和青年联合会工作经费、学校少先队共青团工作经费（含两岸大学校园歌手赛）、三门论坛等；以及青少年宫各种教学、办公设备维护等。</w:t>
      </w:r>
    </w:p>
    <w:p w14:paraId="2584C447">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事业运行</w:t>
      </w:r>
      <w:r>
        <w:rPr>
          <w:rFonts w:hint="eastAsia" w:ascii="仿宋" w:hAnsi="仿宋" w:eastAsia="仿宋" w:cs="仿宋"/>
          <w:kern w:val="0"/>
          <w:sz w:val="32"/>
          <w:szCs w:val="32"/>
          <w:shd w:val="clear" w:color="auto" w:fill="FFFFFF"/>
          <w:lang w:val="en-US" w:eastAsia="zh-CN"/>
        </w:rPr>
        <w:t>1358.29万元.主要用于青少年宫事业运行。</w:t>
      </w:r>
    </w:p>
    <w:p w14:paraId="19464695">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其他群众团体事务支出84万元。主要用于青少年宫D楼维修费用。</w:t>
      </w:r>
    </w:p>
    <w:p w14:paraId="72CFE5EF">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事业单位离退休52.53万元。用于事业单位离退休人员经费支出。</w:t>
      </w:r>
    </w:p>
    <w:p w14:paraId="0F3CCAF3">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机关事业单位基本养老保险缴费支出</w:t>
      </w:r>
      <w:r>
        <w:rPr>
          <w:rFonts w:hint="eastAsia" w:ascii="仿宋" w:hAnsi="仿宋" w:eastAsia="仿宋" w:cs="仿宋"/>
          <w:kern w:val="0"/>
          <w:sz w:val="32"/>
          <w:szCs w:val="32"/>
          <w:shd w:val="clear" w:color="auto" w:fill="FFFFFF"/>
          <w:lang w:val="en-US" w:eastAsia="zh-CN"/>
        </w:rPr>
        <w:t>128.37万元。</w:t>
      </w:r>
      <w:r>
        <w:rPr>
          <w:rFonts w:hint="eastAsia" w:ascii="仿宋" w:hAnsi="仿宋" w:eastAsia="仿宋" w:cs="仿宋"/>
          <w:kern w:val="0"/>
          <w:sz w:val="32"/>
          <w:szCs w:val="32"/>
          <w:shd w:val="clear" w:color="auto" w:fill="FFFFFF"/>
          <w:lang w:eastAsia="zh-CN"/>
        </w:rPr>
        <w:t>主要用于机关事业单位基本养老保险缴费支出</w:t>
      </w:r>
      <w:r>
        <w:rPr>
          <w:rFonts w:hint="eastAsia" w:ascii="仿宋" w:hAnsi="仿宋" w:eastAsia="仿宋" w:cs="仿宋"/>
          <w:kern w:val="0"/>
          <w:sz w:val="32"/>
          <w:szCs w:val="32"/>
          <w:shd w:val="clear" w:color="auto" w:fill="FFFFFF"/>
        </w:rPr>
        <w:t>。</w:t>
      </w:r>
    </w:p>
    <w:p w14:paraId="6247FA7C">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行政单位医疗</w:t>
      </w:r>
      <w:r>
        <w:rPr>
          <w:rFonts w:hint="eastAsia" w:ascii="仿宋" w:hAnsi="仿宋" w:eastAsia="仿宋" w:cs="仿宋"/>
          <w:kern w:val="0"/>
          <w:sz w:val="32"/>
          <w:szCs w:val="32"/>
          <w:shd w:val="clear" w:color="auto" w:fill="FFFFFF"/>
          <w:lang w:val="en-US" w:eastAsia="zh-CN"/>
        </w:rPr>
        <w:t>13.21</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主要是单位在职人员缴交基本医疗保险。</w:t>
      </w:r>
    </w:p>
    <w:p w14:paraId="679885F4">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事业</w:t>
      </w:r>
      <w:r>
        <w:rPr>
          <w:rFonts w:hint="eastAsia" w:ascii="仿宋" w:hAnsi="仿宋" w:eastAsia="仿宋" w:cs="仿宋"/>
          <w:kern w:val="0"/>
          <w:sz w:val="32"/>
          <w:szCs w:val="32"/>
          <w:shd w:val="clear" w:color="auto" w:fill="FFFFFF"/>
        </w:rPr>
        <w:t>单位医疗</w:t>
      </w:r>
      <w:r>
        <w:rPr>
          <w:rFonts w:hint="eastAsia" w:ascii="仿宋" w:hAnsi="仿宋" w:eastAsia="仿宋" w:cs="仿宋"/>
          <w:kern w:val="0"/>
          <w:sz w:val="32"/>
          <w:szCs w:val="32"/>
          <w:shd w:val="clear" w:color="auto" w:fill="FFFFFF"/>
          <w:lang w:val="en-US" w:eastAsia="zh-CN"/>
        </w:rPr>
        <w:t>24.82</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主要是</w:t>
      </w:r>
      <w:r>
        <w:rPr>
          <w:rFonts w:hint="eastAsia" w:ascii="仿宋" w:hAnsi="仿宋" w:eastAsia="仿宋" w:cs="仿宋"/>
          <w:kern w:val="0"/>
          <w:sz w:val="32"/>
          <w:szCs w:val="32"/>
          <w:shd w:val="clear" w:color="auto" w:fill="FFFFFF"/>
          <w:lang w:eastAsia="zh-CN"/>
        </w:rPr>
        <w:t>青少年宫</w:t>
      </w:r>
      <w:r>
        <w:rPr>
          <w:rFonts w:hint="eastAsia" w:ascii="仿宋" w:hAnsi="仿宋" w:eastAsia="仿宋" w:cs="仿宋"/>
          <w:kern w:val="0"/>
          <w:sz w:val="32"/>
          <w:szCs w:val="32"/>
          <w:shd w:val="clear" w:color="auto" w:fill="FFFFFF"/>
        </w:rPr>
        <w:t>在职人员缴交基本医疗保险。</w:t>
      </w:r>
    </w:p>
    <w:p w14:paraId="61A972C8">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公务员医疗补助（项级科目）</w:t>
      </w:r>
      <w:r>
        <w:rPr>
          <w:rFonts w:hint="eastAsia" w:ascii="仿宋" w:hAnsi="仿宋" w:eastAsia="仿宋" w:cs="仿宋"/>
          <w:kern w:val="0"/>
          <w:sz w:val="32"/>
          <w:szCs w:val="32"/>
          <w:shd w:val="clear" w:color="auto" w:fill="FFFFFF"/>
          <w:lang w:val="en-US" w:eastAsia="zh-CN"/>
        </w:rPr>
        <w:t>5.81</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主要是缴交公务员医疗补助经费。</w:t>
      </w:r>
    </w:p>
    <w:p w14:paraId="08286858">
      <w:pPr>
        <w:widowControl/>
        <w:numPr>
          <w:ilvl w:val="0"/>
          <w:numId w:val="1"/>
        </w:numPr>
        <w:shd w:val="clear" w:color="auto" w:fill="FAFCFF"/>
        <w:spacing w:before="100" w:beforeAutospacing="1" w:after="100" w:afterAutospacing="1" w:line="560" w:lineRule="atLeast"/>
        <w:ind w:firstLine="640"/>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其他行政事业单位医疗支出</w:t>
      </w:r>
      <w:r>
        <w:rPr>
          <w:rFonts w:hint="eastAsia" w:ascii="仿宋" w:hAnsi="仿宋" w:eastAsia="仿宋" w:cs="仿宋"/>
          <w:kern w:val="0"/>
          <w:sz w:val="32"/>
          <w:szCs w:val="32"/>
          <w:shd w:val="clear" w:color="auto" w:fill="FFFFFF"/>
          <w:lang w:val="en-US" w:eastAsia="zh-CN"/>
        </w:rPr>
        <w:t>13.84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主要是缴交</w:t>
      </w:r>
      <w:r>
        <w:rPr>
          <w:rFonts w:hint="eastAsia" w:ascii="仿宋" w:hAnsi="仿宋" w:eastAsia="仿宋" w:cs="仿宋"/>
          <w:kern w:val="0"/>
          <w:sz w:val="32"/>
          <w:szCs w:val="32"/>
          <w:shd w:val="clear" w:color="auto" w:fill="FFFFFF"/>
          <w:lang w:eastAsia="zh-CN"/>
        </w:rPr>
        <w:t>事业单位</w:t>
      </w:r>
      <w:r>
        <w:rPr>
          <w:rFonts w:hint="eastAsia" w:ascii="仿宋" w:hAnsi="仿宋" w:eastAsia="仿宋" w:cs="仿宋"/>
          <w:kern w:val="0"/>
          <w:sz w:val="32"/>
          <w:szCs w:val="32"/>
          <w:shd w:val="clear" w:color="auto" w:fill="FFFFFF"/>
        </w:rPr>
        <w:t>医疗补助经费。</w:t>
      </w:r>
    </w:p>
    <w:p w14:paraId="76E560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640" w:leftChars="0" w:right="0" w:rightChars="0"/>
        <w:jc w:val="left"/>
        <w:rPr>
          <w:rFonts w:hint="eastAsia" w:ascii="仿宋" w:hAnsi="仿宋" w:eastAsia="仿宋" w:cs="仿宋"/>
          <w:i w:val="0"/>
          <w:caps w:val="0"/>
          <w:color w:val="000000"/>
          <w:spacing w:val="0"/>
          <w:kern w:val="0"/>
          <w:sz w:val="32"/>
          <w:szCs w:val="32"/>
          <w:shd w:val="clear" w:fill="FAFCFF"/>
          <w:lang w:val="en-US" w:eastAsia="zh-CN" w:bidi="ar"/>
        </w:rPr>
      </w:pPr>
    </w:p>
    <w:p w14:paraId="29F43719">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right="0" w:firstLine="640" w:firstLineChars="2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项目支出经费322万元。主要用于主要项目包括基层团建及非公团建工作经费、共青团品牌工作活动组织经费、五四系列活动和青年联合会工作经费、学校少先队共青团工作经费（含两岸大学校园歌手赛）、三门论坛等；以及青少年宫各种教学、办公设备维护等。</w:t>
      </w:r>
    </w:p>
    <w:p w14:paraId="41D1B08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（三）政府性基金预算财政拨款支出情况</w:t>
      </w:r>
    </w:p>
    <w:p w14:paraId="6AB2FC33">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2019年没有政府性基金预算拨款安排支出。</w:t>
      </w:r>
    </w:p>
    <w:p w14:paraId="17AB1D6B">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（四）“三公”经费财政拨款预算情况</w:t>
      </w:r>
    </w:p>
    <w:p w14:paraId="3F5DC1F1">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部门2019年“三公”经费财政拨款预算数为30.49万元，其中：因公出国（境）经费27.49万元，公务接待费3万元，公务用车购置及运行费0万元。具体情况如下：</w:t>
      </w:r>
    </w:p>
    <w:p w14:paraId="2E9C8DC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（一）因公出国（境）经费</w:t>
      </w:r>
    </w:p>
    <w:p w14:paraId="3D1D554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2019年预算安排27.49万元要用于组织我市青年代表考察“一带一路”沿线国家。与上年预算递减8.3%，主要原因是:减少了考察的批次和人数。</w:t>
      </w:r>
    </w:p>
    <w:p w14:paraId="0ECBFA5A">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（二）公务接待费</w:t>
      </w:r>
    </w:p>
    <w:p w14:paraId="6F659EB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预算安排3万元。主要用于两岸大学校园歌手邀请赛、海峡青年论坛及中日青年友好世纪林等青年外事统战工作和境内外青少年活动团队交流等方面的接待活动。公务接待费用比上年增长50%，主要原因是接待费标准提高和其他地市团委交流增加。</w:t>
      </w:r>
    </w:p>
    <w:p w14:paraId="64FF80C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（三）公务用车购置及运行费</w:t>
      </w:r>
    </w:p>
    <w:p w14:paraId="7C0276EA">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6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2019年公务用车购置及运行费为零。与上年预算递减100%，主要原因机关车改。</w:t>
      </w:r>
    </w:p>
    <w:p w14:paraId="31950738">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五．其他重要事项的情况说明</w:t>
      </w:r>
    </w:p>
    <w:p w14:paraId="11173E0D">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（一）机关运行经费</w:t>
      </w:r>
    </w:p>
    <w:p w14:paraId="57347EAD">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2019年团市委的机关运行经费财政拨款预算615.23万元，比2018年预算减少4.71万元，减少0.7%。主要原因是全市压缩公用经费。</w:t>
      </w:r>
    </w:p>
    <w:p w14:paraId="05C7D766">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（二）政府采购情况</w:t>
      </w:r>
    </w:p>
    <w:p w14:paraId="11BC7FB9">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 w:hAnsi="仿宋" w:eastAsia="仿宋" w:cs="仿宋"/>
          <w:i w:val="0"/>
          <w:caps w:val="0"/>
          <w:color w:val="000000"/>
          <w:spacing w:val="0"/>
          <w:kern w:val="0"/>
          <w:sz w:val="32"/>
          <w:szCs w:val="32"/>
          <w:shd w:val="clear" w:fill="FAFCFF"/>
          <w:lang w:val="en-US" w:eastAsia="zh-CN" w:bidi="ar"/>
        </w:rPr>
        <w:t>2019年团市委政府采购预算总额109.32万元，其中：政府采购货物预算30.39万元。</w:t>
      </w:r>
      <w:r>
        <w:rPr>
          <w:rFonts w:hint="eastAsia" w:ascii="仿宋_GB2312" w:hAnsi="仿宋" w:eastAsia="仿宋_GB2312" w:cs="宋体"/>
          <w:kern w:val="0"/>
          <w:sz w:val="32"/>
          <w:szCs w:val="32"/>
        </w:rPr>
        <w:t>政府采购工程预算0万元，政府采购服务预算</w:t>
      </w:r>
      <w:r>
        <w:rPr>
          <w:rFonts w:hint="eastAsia" w:ascii="仿宋_GB2312" w:hAnsi="仿宋" w:eastAsia="仿宋_GB2312" w:cs="宋体"/>
          <w:kern w:val="0"/>
          <w:sz w:val="32"/>
          <w:szCs w:val="32"/>
          <w:lang w:val="en-US" w:eastAsia="zh-CN"/>
        </w:rPr>
        <w:t>78.93</w:t>
      </w:r>
      <w:r>
        <w:rPr>
          <w:rFonts w:hint="eastAsia" w:ascii="仿宋_GB2312" w:hAnsi="仿宋" w:eastAsia="仿宋_GB2312" w:cs="宋体"/>
          <w:kern w:val="0"/>
          <w:sz w:val="32"/>
          <w:szCs w:val="32"/>
        </w:rPr>
        <w:t>万元。</w:t>
      </w:r>
    </w:p>
    <w:p w14:paraId="7874776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p>
    <w:p w14:paraId="2D68ECE9">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（三）国有资产占有使用情况</w:t>
      </w:r>
    </w:p>
    <w:p w14:paraId="3FFEF872">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截至2018年12月31日，团市委所属各预算单位共有车辆4辆，单位价值50万以上通用设备 1台（套），单位价值100万以上专用设备 1台（套）。</w:t>
      </w:r>
    </w:p>
    <w:p w14:paraId="2B584581">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（四）绩效目标设置情况</w:t>
      </w:r>
    </w:p>
    <w:p w14:paraId="22C8197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lang w:val="en-US"/>
        </w:rPr>
      </w:pPr>
      <w:r>
        <w:rPr>
          <w:rFonts w:hint="eastAsia" w:ascii="仿宋" w:hAnsi="仿宋" w:eastAsia="仿宋" w:cs="仿宋"/>
          <w:i w:val="0"/>
          <w:caps w:val="0"/>
          <w:color w:val="000000"/>
          <w:spacing w:val="0"/>
          <w:kern w:val="0"/>
          <w:sz w:val="32"/>
          <w:szCs w:val="32"/>
          <w:shd w:val="clear" w:fill="FAFCFF"/>
          <w:lang w:val="en-US" w:eastAsia="zh-CN" w:bidi="ar"/>
        </w:rPr>
        <w:t>团市委2019年实行绩效目标管理的项目1个，涉及一般公共预算拨款 223万元。</w:t>
      </w:r>
    </w:p>
    <w:p w14:paraId="5250F31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1298" w:firstLineChars="404"/>
        <w:jc w:val="left"/>
        <w:rPr>
          <w:rFonts w:hint="eastAsia" w:ascii="宋体" w:hAnsi="宋体" w:eastAsia="宋体" w:cs="宋体"/>
          <w:b/>
          <w:bCs/>
          <w:i w:val="0"/>
          <w:caps w:val="0"/>
          <w:color w:val="000000"/>
          <w:spacing w:val="0"/>
          <w:sz w:val="21"/>
          <w:szCs w:val="21"/>
        </w:rPr>
      </w:pPr>
      <w:r>
        <w:rPr>
          <w:rFonts w:hint="eastAsia" w:ascii="仿宋" w:hAnsi="仿宋" w:eastAsia="仿宋" w:cs="仿宋"/>
          <w:b/>
          <w:bCs/>
          <w:i w:val="0"/>
          <w:caps w:val="0"/>
          <w:color w:val="000000"/>
          <w:spacing w:val="0"/>
          <w:kern w:val="0"/>
          <w:sz w:val="32"/>
          <w:szCs w:val="32"/>
          <w:shd w:val="clear" w:fill="FAFCFF"/>
          <w:lang w:val="en-US" w:eastAsia="zh-CN" w:bidi="ar"/>
        </w:rPr>
        <w:t>第三部分名词解释</w:t>
      </w:r>
    </w:p>
    <w:p w14:paraId="004F09D0">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（一）基本支出：指为保障机构正常运转、完成日常工作</w:t>
      </w:r>
      <w:r>
        <w:rPr>
          <w:rFonts w:ascii="Calibri" w:hAnsi="Calibri" w:eastAsia="仿宋_GB2312" w:cs="Calibri"/>
          <w:i w:val="0"/>
          <w:caps w:val="0"/>
          <w:color w:val="000000"/>
          <w:spacing w:val="0"/>
          <w:kern w:val="0"/>
          <w:sz w:val="32"/>
          <w:szCs w:val="32"/>
          <w:shd w:val="clear" w:fill="FAFCFF"/>
          <w:lang w:val="en-US" w:eastAsia="zh-CN" w:bidi="ar"/>
        </w:rPr>
        <w:t>任</w:t>
      </w:r>
      <w:r>
        <w:rPr>
          <w:rFonts w:hint="eastAsia" w:ascii="仿宋" w:hAnsi="仿宋" w:eastAsia="仿宋" w:cs="仿宋"/>
          <w:i w:val="0"/>
          <w:caps w:val="0"/>
          <w:color w:val="000000"/>
          <w:spacing w:val="0"/>
          <w:kern w:val="0"/>
          <w:sz w:val="32"/>
          <w:szCs w:val="32"/>
          <w:shd w:val="clear" w:fill="FAFCFF"/>
          <w:lang w:val="en-US" w:eastAsia="zh-CN" w:bidi="ar"/>
        </w:rPr>
        <w:t>务而发生的人员支出、对个人和家庭的补助支出和公用支出。</w:t>
      </w:r>
    </w:p>
    <w:p w14:paraId="119CDE8B">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（二）项目支出：指在基本支出之外为完成特定行政任务和事业发展目标所发生的支出，包括部门专项、发展经费和基建项目。</w:t>
      </w:r>
    </w:p>
    <w:p w14:paraId="0988A317">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三）“三公”经费：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8AD8C4">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四）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1D13F5C">
      <w:pPr>
        <w:keepNext w:val="0"/>
        <w:keepLines w:val="0"/>
        <w:widowControl/>
        <w:suppressLineNumbers w:val="0"/>
        <w:pBdr>
          <w:top w:val="none" w:color="auto" w:sz="0" w:space="0"/>
          <w:left w:val="none" w:color="auto" w:sz="0" w:space="0"/>
          <w:bottom w:val="none" w:color="auto" w:sz="0" w:space="0"/>
          <w:right w:val="none" w:color="auto" w:sz="0" w:space="0"/>
        </w:pBdr>
        <w:shd w:val="clear" w:fill="FAFC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AFCFF"/>
          <w:lang w:val="en-US" w:eastAsia="zh-CN" w:bidi="ar"/>
        </w:rPr>
        <w:t>（五）其他名词解释。由各部门根据实际情况予以增加说明。</w:t>
      </w:r>
    </w:p>
    <w:p w14:paraId="39DEF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298" w:firstLineChars="404"/>
        <w:jc w:val="left"/>
        <w:rPr>
          <w:rFonts w:hint="eastAsia" w:ascii="宋体" w:hAnsi="宋体" w:eastAsia="宋体" w:cs="宋体"/>
          <w:b/>
          <w:bCs/>
          <w:i w:val="0"/>
          <w:caps w:val="0"/>
          <w:color w:val="000000"/>
          <w:spacing w:val="0"/>
          <w:sz w:val="21"/>
          <w:szCs w:val="21"/>
        </w:rPr>
      </w:pPr>
      <w:r>
        <w:rPr>
          <w:rFonts w:hint="eastAsia" w:ascii="仿宋" w:hAnsi="仿宋" w:eastAsia="仿宋" w:cs="仿宋"/>
          <w:b/>
          <w:bCs/>
          <w:i w:val="0"/>
          <w:caps w:val="0"/>
          <w:color w:val="000000"/>
          <w:spacing w:val="0"/>
          <w:kern w:val="0"/>
          <w:sz w:val="32"/>
          <w:szCs w:val="32"/>
          <w:shd w:val="clear" w:fill="FFFFFF"/>
          <w:lang w:val="en-US" w:eastAsia="zh-CN" w:bidi="ar"/>
        </w:rPr>
        <w:t>第四部分2019年部门预算附表 </w:t>
      </w:r>
    </w:p>
    <w:p w14:paraId="5836E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附件：1.部门收支预算总体情况表</w:t>
      </w:r>
    </w:p>
    <w:p w14:paraId="3B187E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2.部门收入预算总体情况表</w:t>
      </w:r>
    </w:p>
    <w:p w14:paraId="3A237C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3.部门支出预算总体情况表</w:t>
      </w:r>
    </w:p>
    <w:p w14:paraId="6E50C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4.财政拨款收支预算总体情况表</w:t>
      </w:r>
    </w:p>
    <w:p w14:paraId="54954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5.</w:t>
      </w:r>
      <w:r>
        <w:rPr>
          <w:rFonts w:hint="eastAsia" w:ascii="仿宋" w:hAnsi="仿宋" w:eastAsia="仿宋" w:cs="仿宋"/>
          <w:i w:val="0"/>
          <w:caps w:val="0"/>
          <w:color w:val="000000"/>
          <w:spacing w:val="0"/>
          <w:kern w:val="0"/>
          <w:sz w:val="21"/>
          <w:szCs w:val="21"/>
          <w:shd w:val="clear" w:fill="FFFFFF"/>
          <w:lang w:val="en-US" w:eastAsia="zh-CN" w:bidi="ar"/>
        </w:rPr>
        <w:t> </w:t>
      </w:r>
      <w:r>
        <w:rPr>
          <w:rFonts w:hint="eastAsia" w:ascii="仿宋" w:hAnsi="仿宋" w:eastAsia="仿宋" w:cs="仿宋"/>
          <w:i w:val="0"/>
          <w:caps w:val="0"/>
          <w:color w:val="000000"/>
          <w:spacing w:val="0"/>
          <w:kern w:val="0"/>
          <w:sz w:val="32"/>
          <w:szCs w:val="32"/>
          <w:shd w:val="clear" w:fill="FFFFFF"/>
          <w:lang w:val="en-US" w:eastAsia="zh-CN" w:bidi="ar"/>
        </w:rPr>
        <w:t>一般公共预算支出情况表</w:t>
      </w:r>
    </w:p>
    <w:p w14:paraId="2E492C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6.一般公共预算基本支出情况表（经济分类款级科</w:t>
      </w:r>
    </w:p>
    <w:p w14:paraId="11C3A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36"/>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目）</w:t>
      </w:r>
    </w:p>
    <w:p w14:paraId="073361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shd w:val="clear" w:fill="FFFFFF"/>
          <w:lang w:val="en-US" w:eastAsia="zh-CN" w:bidi="ar"/>
        </w:rPr>
        <w:t>7.一般公共预算“三公”经费支出情况表</w:t>
      </w:r>
    </w:p>
    <w:p w14:paraId="64EF2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kern w:val="0"/>
          <w:sz w:val="32"/>
          <w:szCs w:val="32"/>
          <w:u w:val="single"/>
          <w:shd w:val="clear" w:fill="FFFFFF"/>
          <w:lang w:val="en-US" w:eastAsia="zh-CN" w:bidi="ar"/>
        </w:rPr>
        <w:t>8.政府性基金预算支出情况表（空表）</w:t>
      </w:r>
    </w:p>
    <w:p w14:paraId="46AAE3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仿宋" w:hAnsi="仿宋" w:eastAsia="仿宋" w:cs="仿宋"/>
          <w:i w:val="0"/>
          <w:caps w:val="0"/>
          <w:color w:val="000000"/>
          <w:spacing w:val="0"/>
          <w:kern w:val="0"/>
          <w:sz w:val="32"/>
          <w:szCs w:val="32"/>
          <w:u w:val="single"/>
          <w:shd w:val="clear" w:fill="FFFFFF"/>
          <w:lang w:val="en-US" w:eastAsia="zh-CN" w:bidi="ar"/>
        </w:rPr>
      </w:pPr>
      <w:r>
        <w:rPr>
          <w:rFonts w:hint="eastAsia" w:ascii="仿宋" w:hAnsi="仿宋" w:eastAsia="仿宋" w:cs="仿宋"/>
          <w:i w:val="0"/>
          <w:caps w:val="0"/>
          <w:color w:val="000000"/>
          <w:spacing w:val="0"/>
          <w:kern w:val="0"/>
          <w:sz w:val="32"/>
          <w:szCs w:val="32"/>
          <w:u w:val="single"/>
          <w:shd w:val="clear" w:fill="FFFFFF"/>
          <w:lang w:val="en-US" w:eastAsia="zh-CN" w:bidi="ar"/>
        </w:rPr>
        <w:t>9.市对区转移支付支出预算表（空表）</w:t>
      </w:r>
    </w:p>
    <w:p w14:paraId="6E11A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1600" w:firstLineChars="500"/>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10.项目绩效目标表(限试点公开部门)</w:t>
      </w:r>
    </w:p>
    <w:p w14:paraId="2A549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11.部门整体支出绩效目标表(限试点公开部门)</w:t>
      </w:r>
    </w:p>
    <w:p w14:paraId="14B179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仿宋" w:hAnsi="仿宋" w:eastAsia="仿宋" w:cs="仿宋"/>
          <w:i w:val="0"/>
          <w:caps w:val="0"/>
          <w:color w:val="000000"/>
          <w:spacing w:val="0"/>
          <w:kern w:val="0"/>
          <w:sz w:val="32"/>
          <w:szCs w:val="32"/>
          <w:u w:val="single"/>
          <w:shd w:val="clear" w:fill="FFFFFF"/>
          <w:lang w:val="en-US" w:eastAsia="zh-CN" w:bidi="ar"/>
        </w:rPr>
      </w:pPr>
    </w:p>
    <w:p w14:paraId="430EE9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6B34209-E569-4760-B8AA-6C98685E304F}"/>
  </w:font>
  <w:font w:name="方正小标宋简体">
    <w:panose1 w:val="02000000000000000000"/>
    <w:charset w:val="86"/>
    <w:family w:val="auto"/>
    <w:pitch w:val="default"/>
    <w:sig w:usb0="00000001" w:usb1="08000000" w:usb2="00000000" w:usb3="00000000" w:csb0="00040000" w:csb1="00000000"/>
    <w:embedRegular r:id="rId2" w:fontKey="{FEFFCA14-97A5-4F0E-9D41-E78DDEFAB84E}"/>
  </w:font>
  <w:font w:name="仿宋">
    <w:panose1 w:val="02010609060101010101"/>
    <w:charset w:val="86"/>
    <w:family w:val="auto"/>
    <w:pitch w:val="default"/>
    <w:sig w:usb0="800002BF" w:usb1="38CF7CFA" w:usb2="00000016" w:usb3="00000000" w:csb0="00040001" w:csb1="00000000"/>
    <w:embedRegular r:id="rId3" w:fontKey="{2028742E-A36D-475B-9637-A286CA1C47C8}"/>
  </w:font>
  <w:font w:name="楷体">
    <w:panose1 w:val="02010609060101010101"/>
    <w:charset w:val="86"/>
    <w:family w:val="modern"/>
    <w:pitch w:val="default"/>
    <w:sig w:usb0="800002BF" w:usb1="38CF7CFA" w:usb2="00000016" w:usb3="00000000" w:csb0="00040001" w:csb1="00000000"/>
    <w:embedRegular r:id="rId4" w:fontKey="{2CEB7882-258F-4AF3-8940-6B9968841057}"/>
  </w:font>
  <w:font w:name="仿宋_GB2312">
    <w:altName w:val="仿宋"/>
    <w:panose1 w:val="02010609030101010101"/>
    <w:charset w:val="86"/>
    <w:family w:val="auto"/>
    <w:pitch w:val="default"/>
    <w:sig w:usb0="00000000" w:usb1="00000000" w:usb2="00000000" w:usb3="00000000" w:csb0="00040000" w:csb1="00000000"/>
    <w:embedRegular r:id="rId5" w:fontKey="{95D37D92-3B75-49B5-BF95-546AD77C07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E2A26"/>
    <w:multiLevelType w:val="singleLevel"/>
    <w:tmpl w:val="97CE2A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D2204"/>
    <w:rsid w:val="08147044"/>
    <w:rsid w:val="0A4023B4"/>
    <w:rsid w:val="0CA0357B"/>
    <w:rsid w:val="123E56DB"/>
    <w:rsid w:val="190F18A0"/>
    <w:rsid w:val="1AF46D54"/>
    <w:rsid w:val="1B440810"/>
    <w:rsid w:val="1D4B3F6A"/>
    <w:rsid w:val="2118544B"/>
    <w:rsid w:val="245240F3"/>
    <w:rsid w:val="3104237C"/>
    <w:rsid w:val="326F024C"/>
    <w:rsid w:val="35D77C08"/>
    <w:rsid w:val="363D2204"/>
    <w:rsid w:val="3C070BC4"/>
    <w:rsid w:val="3E911584"/>
    <w:rsid w:val="4578123C"/>
    <w:rsid w:val="56E2268A"/>
    <w:rsid w:val="5D7D2AE3"/>
    <w:rsid w:val="5F6434B4"/>
    <w:rsid w:val="680A5D7A"/>
    <w:rsid w:val="68F814D3"/>
    <w:rsid w:val="6C9B626A"/>
    <w:rsid w:val="6D960FDA"/>
    <w:rsid w:val="6DA20EE5"/>
    <w:rsid w:val="6F9D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2538</Words>
  <Characters>2572</Characters>
  <Lines>0</Lines>
  <Paragraphs>0</Paragraphs>
  <TotalTime>221</TotalTime>
  <ScaleCrop>false</ScaleCrop>
  <LinksUpToDate>false</LinksUpToDate>
  <CharactersWithSpaces>2573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2019-01-30T06:25:00Z</dcterms:created>
  <dc:creator>jessica</dc:creator>
  <cp:lastModifiedBy>溯世</cp:lastModifiedBy>
  <dcterms:modified xsi:type="dcterms:W3CDTF">2026-01-20T08:45:47Z</dcterms:modified>
  <dc:title>厦门团市委2019年部门预算说明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A1360707A37545E484C9306C29AA0CBA</vt:lpwstr>
  </property>
  <property fmtid="{D5CDD505-2E9C-101B-9397-08002B2CF9AE}" pid="4" name="KSOTemplateDocerSaveRecord">
    <vt:lpwstr>eyJoZGlkIjoiOWQ5NmY4M2RkMGQxMWY4N2E2ZDI3NTU2ZWRlYWQzYWEiLCJ1c2VySWQiOiIyMDczNjAyNTAifQ==</vt:lpwstr>
  </property>
</Properties>
</file>