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ind w:right="330" w:rightChars="157"/>
        <w:textAlignment w:val="bottom"/>
        <w:rPr>
          <w:rFonts w:ascii="方正小标宋简体" w:hAnsi="仿宋" w:eastAsia="方正小标宋简体"/>
          <w:sz w:val="32"/>
          <w:szCs w:val="32"/>
        </w:rPr>
      </w:pP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cs="仿宋_GB2312"/>
          <w:sz w:val="44"/>
          <w:szCs w:val="44"/>
        </w:rPr>
        <w:t>2021年市委改革办</w:t>
      </w:r>
      <w:r>
        <w:rPr>
          <w:rFonts w:hint="eastAsia" w:ascii="方正小标宋简体" w:hAnsi="仿宋" w:eastAsia="方正小标宋简体"/>
          <w:sz w:val="44"/>
          <w:szCs w:val="44"/>
        </w:rPr>
        <w:t>部门预算说明</w:t>
      </w:r>
    </w:p>
    <w:p>
      <w:pPr>
        <w:spacing w:line="560" w:lineRule="exact"/>
        <w:jc w:val="center"/>
        <w:rPr>
          <w:rFonts w:hint="eastAsia" w:ascii="黑体" w:hAnsi="黑体" w:eastAsia="黑体"/>
          <w:sz w:val="32"/>
          <w:szCs w:val="32"/>
        </w:rPr>
      </w:pPr>
    </w:p>
    <w:p>
      <w:pPr>
        <w:spacing w:line="560" w:lineRule="exact"/>
        <w:jc w:val="center"/>
        <w:rPr>
          <w:rFonts w:hint="eastAsia" w:ascii="黑体" w:hAnsi="黑体" w:eastAsia="黑体"/>
          <w:color w:val="000000"/>
          <w:sz w:val="32"/>
          <w:szCs w:val="32"/>
        </w:rPr>
      </w:pPr>
      <w:r>
        <w:rPr>
          <w:rFonts w:hint="eastAsia" w:ascii="黑体" w:hAnsi="黑体" w:eastAsia="黑体"/>
          <w:color w:val="000000"/>
          <w:sz w:val="32"/>
          <w:szCs w:val="32"/>
        </w:rPr>
        <w:t>目   录</w:t>
      </w:r>
    </w:p>
    <w:p>
      <w:pPr>
        <w:keepNext w:val="0"/>
        <w:keepLines w:val="0"/>
        <w:pageBreakBefore w:val="0"/>
        <w:widowControl w:val="0"/>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keepNext w:val="0"/>
        <w:keepLines w:val="0"/>
        <w:pageBreakBefore w:val="0"/>
        <w:widowControl w:val="0"/>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keepNext w:val="0"/>
        <w:keepLines w:val="0"/>
        <w:pageBreakBefore w:val="0"/>
        <w:widowControl w:val="0"/>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keepNext w:val="0"/>
        <w:keepLines w:val="0"/>
        <w:pageBreakBefore w:val="0"/>
        <w:widowControl w:val="0"/>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keepNext w:val="0"/>
        <w:keepLines w:val="0"/>
        <w:pageBreakBefore w:val="0"/>
        <w:widowControl w:val="0"/>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第二部分  2021年部门预算说明</w:t>
      </w:r>
    </w:p>
    <w:p>
      <w:pPr>
        <w:keepNext w:val="0"/>
        <w:keepLines w:val="0"/>
        <w:pageBreakBefore w:val="0"/>
        <w:widowControl w:val="0"/>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一、2021年部门预算收支总体情况</w:t>
      </w:r>
    </w:p>
    <w:p>
      <w:pPr>
        <w:keepNext w:val="0"/>
        <w:keepLines w:val="0"/>
        <w:pageBreakBefore w:val="0"/>
        <w:widowControl w:val="0"/>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keepNext w:val="0"/>
        <w:keepLines w:val="0"/>
        <w:pageBreakBefore w:val="0"/>
        <w:widowControl w:val="0"/>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keepNext w:val="0"/>
        <w:keepLines w:val="0"/>
        <w:pageBreakBefore w:val="0"/>
        <w:widowControl w:val="0"/>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keepNext w:val="0"/>
        <w:keepLines w:val="0"/>
        <w:pageBreakBefore w:val="0"/>
        <w:widowControl w:val="0"/>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keepNext w:val="0"/>
        <w:keepLines w:val="0"/>
        <w:pageBreakBefore w:val="0"/>
        <w:widowControl w:val="0"/>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第三部分  名词解释</w:t>
      </w:r>
    </w:p>
    <w:p>
      <w:pPr>
        <w:keepNext w:val="0"/>
        <w:keepLines w:val="0"/>
        <w:pageBreakBefore w:val="0"/>
        <w:widowControl w:val="0"/>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第四部分  2021年部门预算附表</w:t>
      </w:r>
    </w:p>
    <w:p>
      <w:pPr>
        <w:keepNext w:val="0"/>
        <w:keepLines w:val="0"/>
        <w:pageBreakBefore w:val="0"/>
        <w:widowControl w:val="0"/>
        <w:shd w:val="clear" w:color="auto" w:fill="FFFFFF"/>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keepNext w:val="0"/>
        <w:keepLines w:val="0"/>
        <w:pageBreakBefore w:val="0"/>
        <w:widowControl w:val="0"/>
        <w:shd w:val="clear" w:color="auto" w:fill="FFFFFF"/>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keepNext w:val="0"/>
        <w:keepLines w:val="0"/>
        <w:pageBreakBefore w:val="0"/>
        <w:widowControl w:val="0"/>
        <w:shd w:val="clear" w:color="auto" w:fill="FFFFFF"/>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keepNext w:val="0"/>
        <w:keepLines w:val="0"/>
        <w:pageBreakBefore w:val="0"/>
        <w:widowControl w:val="0"/>
        <w:shd w:val="clear" w:color="auto" w:fill="FFFFFF"/>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keepNext w:val="0"/>
        <w:keepLines w:val="0"/>
        <w:pageBreakBefore w:val="0"/>
        <w:widowControl w:val="0"/>
        <w:shd w:val="clear" w:color="auto" w:fill="FFFFFF"/>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keepNext w:val="0"/>
        <w:keepLines w:val="0"/>
        <w:pageBreakBefore w:val="0"/>
        <w:widowControl w:val="0"/>
        <w:shd w:val="clear" w:color="auto" w:fill="FFFFFF"/>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keepNext w:val="0"/>
        <w:keepLines w:val="0"/>
        <w:pageBreakBefore w:val="0"/>
        <w:widowControl w:val="0"/>
        <w:shd w:val="clear" w:color="auto" w:fill="FFFFFF"/>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keepNext w:val="0"/>
        <w:keepLines w:val="0"/>
        <w:pageBreakBefore w:val="0"/>
        <w:widowControl w:val="0"/>
        <w:shd w:val="clear" w:color="auto" w:fill="FFFFFF"/>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keepNext w:val="0"/>
        <w:keepLines w:val="0"/>
        <w:pageBreakBefore w:val="0"/>
        <w:widowControl w:val="0"/>
        <w:shd w:val="clear" w:color="auto" w:fill="FFFFFF"/>
        <w:tabs>
          <w:tab w:val="left" w:pos="7513"/>
        </w:tabs>
        <w:kinsoku/>
        <w:wordWrap/>
        <w:overflowPunct/>
        <w:topLinePunct w:val="0"/>
        <w:autoSpaceDE/>
        <w:autoSpaceDN/>
        <w:bidi w:val="0"/>
        <w:adjustRightInd w:val="0"/>
        <w:snapToGrid w:val="0"/>
        <w:spacing w:line="540" w:lineRule="exact"/>
        <w:ind w:firstLine="640" w:firstLineChars="200"/>
        <w:textAlignment w:val="auto"/>
        <w:rPr>
          <w:rFonts w:hint="eastAsia" w:ascii="黑体" w:eastAsia="黑体"/>
          <w:sz w:val="32"/>
          <w:szCs w:val="32"/>
        </w:rPr>
      </w:pPr>
      <w:r>
        <w:rPr>
          <w:rFonts w:hint="eastAsia" w:ascii="仿宋_GB2312" w:hAnsi="仿宋" w:eastAsia="仿宋_GB2312" w:cs="仿宋_GB2312"/>
          <w:sz w:val="32"/>
          <w:szCs w:val="32"/>
        </w:rPr>
        <w:t>九、市对区转移支付支出预算表</w:t>
      </w: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tabs>
          <w:tab w:val="left" w:pos="7513"/>
        </w:tabs>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中共厦门市委改革办</w:t>
      </w:r>
      <w:r>
        <w:rPr>
          <w:rFonts w:hint="eastAsia" w:ascii="仿宋_GB2312" w:hAnsi="仿宋" w:eastAsia="仿宋_GB2312" w:cs="仿宋_GB2312"/>
          <w:color w:val="auto"/>
          <w:sz w:val="32"/>
          <w:szCs w:val="32"/>
          <w:lang w:eastAsia="zh-CN"/>
        </w:rPr>
        <w:t>（财经办）</w:t>
      </w:r>
      <w:r>
        <w:rPr>
          <w:rFonts w:hint="eastAsia" w:ascii="仿宋_GB2312" w:hAnsi="仿宋" w:eastAsia="仿宋_GB2312" w:cs="仿宋_GB2312"/>
          <w:color w:val="auto"/>
          <w:sz w:val="32"/>
          <w:szCs w:val="32"/>
        </w:rPr>
        <w:t>的主要职责是：</w:t>
      </w:r>
    </w:p>
    <w:p>
      <w:pPr>
        <w:numPr>
          <w:ilvl w:val="0"/>
          <w:numId w:val="1"/>
        </w:numPr>
        <w:tabs>
          <w:tab w:val="left" w:pos="7513"/>
        </w:tabs>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贯彻落实中央、省委和市委关于全面深化改革工作和财经工作的决策部署，负责市委全面深化改革委员会和市委财经委员会的日常事务。</w:t>
      </w:r>
    </w:p>
    <w:p>
      <w:pPr>
        <w:numPr>
          <w:ilvl w:val="0"/>
          <w:numId w:val="1"/>
        </w:numPr>
        <w:tabs>
          <w:tab w:val="left" w:pos="7513"/>
        </w:tabs>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组织开展全面深化改革重大问题的政策研究。协调拟定全市中长期改革规划建议、重大改革方案、年底改革工作要点等。统筹有关方面研究提出重点改革方案和改革措施等。</w:t>
      </w:r>
    </w:p>
    <w:p>
      <w:pPr>
        <w:numPr>
          <w:ilvl w:val="0"/>
          <w:numId w:val="1"/>
        </w:numPr>
        <w:tabs>
          <w:tab w:val="left" w:pos="7513"/>
        </w:tabs>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组织开展全市财经和经济发展领域重大问题的政策研究。协调有关方面拟定财经和经济社会发展领域的战略规划和政策措施等。统筹协调经济建设以及社会建设、生态文明建设等方面的重要事项。</w:t>
      </w:r>
    </w:p>
    <w:p>
      <w:pPr>
        <w:numPr>
          <w:ilvl w:val="0"/>
          <w:numId w:val="1"/>
        </w:numPr>
        <w:tabs>
          <w:tab w:val="left" w:pos="7513"/>
        </w:tabs>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了解掌握并及时反映全市全面深化改革、财经和经济社会发展领域的重要情况及问题，为市委提供决策建议。宣传总结推广全面深化改革典型经验，推动改革经验成果制度化。</w:t>
      </w:r>
    </w:p>
    <w:p>
      <w:pPr>
        <w:numPr>
          <w:ilvl w:val="0"/>
          <w:numId w:val="1"/>
        </w:numPr>
        <w:tabs>
          <w:tab w:val="left" w:pos="7513"/>
        </w:tabs>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推动督促有关方面落实市委及市委全面深化改革委员会、市委财经委员会的决策部署和工作要求。协调指导各专项工作小组、各区、有关部门推进全面深化改革和财经工作。</w:t>
      </w:r>
    </w:p>
    <w:p>
      <w:pPr>
        <w:numPr>
          <w:ilvl w:val="0"/>
          <w:numId w:val="1"/>
        </w:numPr>
        <w:tabs>
          <w:tab w:val="left" w:pos="7513"/>
        </w:tabs>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完成市委及市委全面深化改革委员会、市委财经委员会交办的其他任务。</w:t>
      </w:r>
    </w:p>
    <w:p>
      <w:pPr>
        <w:tabs>
          <w:tab w:val="left" w:pos="7513"/>
        </w:tabs>
        <w:adjustRightInd w:val="0"/>
        <w:snapToGrid w:val="0"/>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二、部门预算单位基本情况</w:t>
      </w:r>
    </w:p>
    <w:p>
      <w:pPr>
        <w:tabs>
          <w:tab w:val="left" w:pos="7513"/>
        </w:tabs>
        <w:adjustRightInd w:val="0"/>
        <w:snapToGrid w:val="0"/>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s="仿宋_GB2312"/>
          <w:color w:val="auto"/>
          <w:sz w:val="32"/>
          <w:szCs w:val="32"/>
        </w:rPr>
        <w:t>中共厦门市委改革办</w:t>
      </w:r>
      <w:r>
        <w:rPr>
          <w:rFonts w:hint="eastAsia" w:ascii="仿宋_GB2312" w:hAnsi="仿宋" w:eastAsia="仿宋_GB2312"/>
          <w:color w:val="auto"/>
          <w:sz w:val="32"/>
          <w:szCs w:val="32"/>
        </w:rPr>
        <w:t>包括</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olor w:val="auto"/>
          <w:sz w:val="32"/>
          <w:szCs w:val="32"/>
        </w:rPr>
        <w:t>个机关行政处室及</w:t>
      </w:r>
      <w:r>
        <w:rPr>
          <w:rFonts w:hint="eastAsia" w:ascii="仿宋_GB2312" w:hAnsi="仿宋" w:eastAsia="仿宋_GB2312" w:cs="仿宋_GB2312"/>
          <w:color w:val="auto"/>
          <w:sz w:val="32"/>
          <w:szCs w:val="32"/>
        </w:rPr>
        <w:t>0</w:t>
      </w:r>
      <w:r>
        <w:rPr>
          <w:rFonts w:hint="eastAsia" w:ascii="仿宋_GB2312" w:hAnsi="仿宋" w:eastAsia="仿宋_GB2312"/>
          <w:color w:val="auto"/>
          <w:sz w:val="32"/>
          <w:szCs w:val="32"/>
        </w:rPr>
        <w:t>个基层预算单位，其中：列入</w:t>
      </w:r>
      <w:r>
        <w:rPr>
          <w:rFonts w:hint="eastAsia" w:ascii="仿宋_GB2312" w:hAnsi="仿宋" w:eastAsia="仿宋_GB2312" w:cs="仿宋_GB2312"/>
          <w:color w:val="auto"/>
          <w:sz w:val="32"/>
          <w:szCs w:val="32"/>
        </w:rPr>
        <w:t>2021年</w:t>
      </w:r>
      <w:r>
        <w:rPr>
          <w:rFonts w:hint="eastAsia" w:ascii="仿宋_GB2312" w:hAnsi="仿宋" w:eastAsia="仿宋_GB2312"/>
          <w:color w:val="auto"/>
          <w:sz w:val="32"/>
          <w:szCs w:val="32"/>
        </w:rPr>
        <w:t>部门预算编制范围的单位详细情况见下表: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1559"/>
        <w:gridCol w:w="184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8" w:type="dxa"/>
            <w:shd w:val="clear" w:color="auto" w:fill="auto"/>
            <w:vAlign w:val="top"/>
          </w:tcPr>
          <w:p>
            <w:pPr>
              <w:tabs>
                <w:tab w:val="left" w:pos="7513"/>
              </w:tabs>
              <w:adjustRightInd w:val="0"/>
              <w:snapToGrid w:val="0"/>
              <w:spacing w:line="560" w:lineRule="exact"/>
              <w:jc w:val="center"/>
              <w:rPr>
                <w:rFonts w:hint="eastAsia" w:ascii="仿宋_GB2312" w:hAnsi="仿宋" w:eastAsia="仿宋_GB2312"/>
                <w:color w:val="auto"/>
                <w:sz w:val="32"/>
                <w:szCs w:val="32"/>
              </w:rPr>
            </w:pPr>
            <w:r>
              <w:rPr>
                <w:rFonts w:hint="eastAsia" w:ascii="仿宋_GB2312" w:hAnsi="仿宋" w:eastAsia="仿宋_GB2312"/>
                <w:color w:val="auto"/>
                <w:sz w:val="32"/>
                <w:szCs w:val="32"/>
              </w:rPr>
              <w:t>单位名称</w:t>
            </w:r>
          </w:p>
        </w:tc>
        <w:tc>
          <w:tcPr>
            <w:tcW w:w="1559" w:type="dxa"/>
            <w:shd w:val="clear" w:color="auto" w:fill="auto"/>
            <w:vAlign w:val="top"/>
          </w:tcPr>
          <w:p>
            <w:pPr>
              <w:tabs>
                <w:tab w:val="left" w:pos="7513"/>
              </w:tabs>
              <w:adjustRightInd w:val="0"/>
              <w:snapToGrid w:val="0"/>
              <w:spacing w:line="560" w:lineRule="exact"/>
              <w:jc w:val="center"/>
              <w:rPr>
                <w:rFonts w:hint="eastAsia" w:ascii="仿宋_GB2312" w:hAnsi="仿宋" w:eastAsia="仿宋_GB2312"/>
                <w:color w:val="auto"/>
                <w:sz w:val="32"/>
                <w:szCs w:val="32"/>
              </w:rPr>
            </w:pPr>
            <w:r>
              <w:rPr>
                <w:rFonts w:hint="eastAsia" w:ascii="仿宋_GB2312" w:hAnsi="仿宋" w:eastAsia="仿宋_GB2312"/>
                <w:color w:val="auto"/>
                <w:sz w:val="32"/>
                <w:szCs w:val="32"/>
              </w:rPr>
              <w:t>经费性质</w:t>
            </w:r>
          </w:p>
        </w:tc>
        <w:tc>
          <w:tcPr>
            <w:tcW w:w="1843" w:type="dxa"/>
            <w:shd w:val="clear" w:color="auto" w:fill="auto"/>
            <w:vAlign w:val="top"/>
          </w:tcPr>
          <w:p>
            <w:pPr>
              <w:tabs>
                <w:tab w:val="left" w:pos="7513"/>
              </w:tabs>
              <w:adjustRightInd w:val="0"/>
              <w:snapToGrid w:val="0"/>
              <w:spacing w:line="560" w:lineRule="exact"/>
              <w:jc w:val="center"/>
              <w:rPr>
                <w:rFonts w:hint="eastAsia" w:ascii="仿宋_GB2312" w:hAnsi="仿宋" w:eastAsia="仿宋_GB2312"/>
                <w:color w:val="auto"/>
                <w:sz w:val="32"/>
                <w:szCs w:val="32"/>
              </w:rPr>
            </w:pPr>
            <w:r>
              <w:rPr>
                <w:rFonts w:hint="eastAsia" w:ascii="仿宋_GB2312" w:hAnsi="仿宋" w:eastAsia="仿宋_GB2312"/>
                <w:color w:val="auto"/>
                <w:sz w:val="32"/>
                <w:szCs w:val="32"/>
              </w:rPr>
              <w:t>人员编制数</w:t>
            </w:r>
          </w:p>
        </w:tc>
        <w:tc>
          <w:tcPr>
            <w:tcW w:w="1992" w:type="dxa"/>
            <w:shd w:val="clear" w:color="auto" w:fill="auto"/>
            <w:vAlign w:val="top"/>
          </w:tcPr>
          <w:p>
            <w:pPr>
              <w:tabs>
                <w:tab w:val="left" w:pos="7513"/>
              </w:tabs>
              <w:adjustRightInd w:val="0"/>
              <w:snapToGrid w:val="0"/>
              <w:spacing w:line="560" w:lineRule="exact"/>
              <w:jc w:val="center"/>
              <w:rPr>
                <w:rFonts w:hint="eastAsia" w:ascii="仿宋_GB2312" w:hAnsi="仿宋" w:eastAsia="仿宋_GB2312"/>
                <w:color w:val="auto"/>
                <w:sz w:val="32"/>
                <w:szCs w:val="32"/>
              </w:rPr>
            </w:pPr>
            <w:r>
              <w:rPr>
                <w:rFonts w:hint="eastAsia" w:ascii="仿宋_GB2312" w:hAnsi="仿宋" w:eastAsia="仿宋_GB2312"/>
                <w:color w:val="auto"/>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8" w:type="dxa"/>
            <w:shd w:val="clear" w:color="auto" w:fill="auto"/>
            <w:vAlign w:val="top"/>
          </w:tcPr>
          <w:p>
            <w:pPr>
              <w:tabs>
                <w:tab w:val="left" w:pos="7513"/>
              </w:tabs>
              <w:adjustRightInd w:val="0"/>
              <w:snapToGrid w:val="0"/>
              <w:spacing w:line="560" w:lineRule="exact"/>
              <w:rPr>
                <w:rFonts w:ascii="仿宋_GB2312" w:hAnsi="仿宋" w:eastAsia="仿宋_GB2312"/>
                <w:color w:val="auto"/>
                <w:sz w:val="32"/>
                <w:szCs w:val="32"/>
              </w:rPr>
            </w:pPr>
            <w:r>
              <w:rPr>
                <w:rFonts w:hint="eastAsia" w:ascii="仿宋_GB2312" w:hAnsi="仿宋" w:eastAsia="仿宋_GB2312"/>
                <w:color w:val="auto"/>
                <w:sz w:val="32"/>
                <w:szCs w:val="32"/>
              </w:rPr>
              <w:t>中共厦门市委改革办</w:t>
            </w:r>
          </w:p>
        </w:tc>
        <w:tc>
          <w:tcPr>
            <w:tcW w:w="1559" w:type="dxa"/>
            <w:shd w:val="clear" w:color="auto" w:fill="auto"/>
            <w:vAlign w:val="center"/>
          </w:tcPr>
          <w:p>
            <w:pPr>
              <w:tabs>
                <w:tab w:val="left" w:pos="7513"/>
              </w:tabs>
              <w:adjustRightInd w:val="0"/>
              <w:snapToGrid w:val="0"/>
              <w:spacing w:line="560" w:lineRule="exact"/>
              <w:jc w:val="center"/>
              <w:rPr>
                <w:rFonts w:ascii="仿宋_GB2312" w:hAnsi="仿宋" w:eastAsia="仿宋_GB2312"/>
                <w:color w:val="auto"/>
                <w:sz w:val="32"/>
                <w:szCs w:val="32"/>
              </w:rPr>
            </w:pPr>
            <w:r>
              <w:rPr>
                <w:rFonts w:hint="eastAsia" w:ascii="仿宋_GB2312" w:hAnsi="仿宋" w:eastAsia="仿宋_GB2312"/>
                <w:color w:val="auto"/>
                <w:sz w:val="32"/>
                <w:szCs w:val="32"/>
              </w:rPr>
              <w:t>财政拨款</w:t>
            </w:r>
          </w:p>
        </w:tc>
        <w:tc>
          <w:tcPr>
            <w:tcW w:w="1843" w:type="dxa"/>
            <w:shd w:val="clear" w:color="auto" w:fill="auto"/>
            <w:vAlign w:val="center"/>
          </w:tcPr>
          <w:p>
            <w:pPr>
              <w:tabs>
                <w:tab w:val="left" w:pos="7513"/>
              </w:tabs>
              <w:adjustRightInd w:val="0"/>
              <w:snapToGrid w:val="0"/>
              <w:spacing w:line="560" w:lineRule="exact"/>
              <w:jc w:val="center"/>
              <w:rPr>
                <w:rFonts w:ascii="仿宋_GB2312" w:hAnsi="仿宋" w:eastAsia="仿宋_GB2312"/>
                <w:color w:val="auto"/>
                <w:sz w:val="32"/>
                <w:szCs w:val="32"/>
              </w:rPr>
            </w:pPr>
            <w:r>
              <w:rPr>
                <w:rFonts w:hint="eastAsia" w:ascii="仿宋_GB2312" w:hAnsi="仿宋" w:eastAsia="仿宋_GB2312"/>
                <w:color w:val="auto"/>
                <w:sz w:val="32"/>
                <w:szCs w:val="32"/>
              </w:rPr>
              <w:t>12</w:t>
            </w:r>
          </w:p>
        </w:tc>
        <w:tc>
          <w:tcPr>
            <w:tcW w:w="1992" w:type="dxa"/>
            <w:shd w:val="clear" w:color="auto" w:fill="auto"/>
            <w:vAlign w:val="center"/>
          </w:tcPr>
          <w:p>
            <w:pPr>
              <w:tabs>
                <w:tab w:val="left" w:pos="7513"/>
              </w:tabs>
              <w:adjustRightInd w:val="0"/>
              <w:snapToGrid w:val="0"/>
              <w:spacing w:line="560" w:lineRule="exact"/>
              <w:jc w:val="center"/>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10</w:t>
            </w:r>
          </w:p>
        </w:tc>
      </w:tr>
    </w:tbl>
    <w:p>
      <w:pPr>
        <w:tabs>
          <w:tab w:val="left" w:pos="7513"/>
        </w:tabs>
        <w:adjustRightInd w:val="0"/>
        <w:snapToGrid w:val="0"/>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三、部门主要工作任务</w:t>
      </w:r>
    </w:p>
    <w:p>
      <w:pPr>
        <w:tabs>
          <w:tab w:val="left" w:pos="7513"/>
        </w:tabs>
        <w:adjustRightInd w:val="0"/>
        <w:snapToGrid w:val="0"/>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s="仿宋_GB2312"/>
          <w:color w:val="auto"/>
          <w:sz w:val="32"/>
          <w:szCs w:val="32"/>
        </w:rPr>
        <w:t>2021年</w:t>
      </w:r>
      <w:r>
        <w:rPr>
          <w:rFonts w:hint="eastAsia" w:ascii="仿宋_GB2312" w:hAnsi="仿宋" w:eastAsia="仿宋_GB2312"/>
          <w:color w:val="auto"/>
          <w:sz w:val="32"/>
          <w:szCs w:val="32"/>
        </w:rPr>
        <w:t>，</w:t>
      </w:r>
      <w:r>
        <w:rPr>
          <w:rFonts w:hint="eastAsia" w:ascii="仿宋_GB2312" w:hAnsi="仿宋" w:eastAsia="仿宋_GB2312" w:cs="仿宋_GB2312"/>
          <w:color w:val="auto"/>
          <w:sz w:val="32"/>
          <w:szCs w:val="32"/>
        </w:rPr>
        <w:t>中共厦门市委改革办</w:t>
      </w:r>
      <w:r>
        <w:rPr>
          <w:rFonts w:hint="eastAsia" w:ascii="仿宋_GB2312" w:hAnsi="仿宋" w:eastAsia="仿宋_GB2312"/>
          <w:color w:val="auto"/>
          <w:sz w:val="32"/>
          <w:szCs w:val="32"/>
        </w:rPr>
        <w:t>主要任务是：</w:t>
      </w:r>
      <w:r>
        <w:rPr>
          <w:rFonts w:hint="eastAsia" w:ascii="仿宋_GB2312" w:hAnsi="Calibri" w:eastAsia="仿宋_GB2312" w:cs="仿宋_GB2312"/>
          <w:color w:val="auto"/>
          <w:sz w:val="32"/>
          <w:szCs w:val="32"/>
        </w:rPr>
        <w:t>坚持以习近平新时代中国特色社会主义思想为指导，深入学习贯彻党的十九大和十九届二中、三中、四中、五中全会精神，认真贯彻落实中央深改委、财经委和省委改革委、财经委决策部署，在厦门经济特区建设4</w:t>
      </w:r>
      <w:r>
        <w:rPr>
          <w:rFonts w:ascii="仿宋_GB2312" w:hAnsi="Calibri" w:eastAsia="仿宋_GB2312" w:cs="仿宋_GB2312"/>
          <w:color w:val="auto"/>
          <w:sz w:val="32"/>
          <w:szCs w:val="32"/>
        </w:rPr>
        <w:t>0</w:t>
      </w:r>
      <w:r>
        <w:rPr>
          <w:rFonts w:hint="eastAsia" w:ascii="仿宋_GB2312" w:hAnsi="Calibri" w:eastAsia="仿宋_GB2312" w:cs="仿宋_GB2312"/>
          <w:color w:val="auto"/>
          <w:sz w:val="32"/>
          <w:szCs w:val="32"/>
        </w:rPr>
        <w:t>周年新的历史起点上，积极投身全市“创新发展年”活动，推动全面深化改革和财经工作各项任务落地见效，为更高水平建设高素质高颜值现代化国际化城市作出新的更大贡献</w:t>
      </w:r>
      <w:r>
        <w:rPr>
          <w:rFonts w:hint="eastAsia" w:ascii="仿宋_GB2312" w:hAnsi="Calibri" w:eastAsia="仿宋_GB2312" w:cs="仿宋_GB2312"/>
          <w:color w:val="auto"/>
          <w:sz w:val="32"/>
          <w:szCs w:val="32"/>
          <w:lang w:eastAsia="zh-CN"/>
        </w:rPr>
        <w:t>，以优异成绩庆祝中国共产党成立</w:t>
      </w:r>
      <w:r>
        <w:rPr>
          <w:rFonts w:hint="eastAsia" w:ascii="仿宋_GB2312" w:hAnsi="Calibri" w:eastAsia="仿宋_GB2312" w:cs="仿宋_GB2312"/>
          <w:color w:val="auto"/>
          <w:sz w:val="32"/>
          <w:szCs w:val="32"/>
          <w:lang w:val="en-US" w:eastAsia="zh-CN"/>
        </w:rPr>
        <w:t>100周年</w:t>
      </w:r>
      <w:r>
        <w:rPr>
          <w:rFonts w:hint="eastAsia" w:ascii="仿宋_GB2312" w:hAnsi="仿宋" w:eastAsia="仿宋_GB2312"/>
          <w:color w:val="auto"/>
          <w:sz w:val="32"/>
          <w:szCs w:val="32"/>
        </w:rPr>
        <w:t>。围绕上述任务，重点抓好以下工作：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val="0"/>
          <w:bCs w:val="0"/>
          <w:color w:val="auto"/>
          <w:sz w:val="32"/>
          <w:szCs w:val="32"/>
        </w:rPr>
        <w:t>（一）实施战略战役性改革。</w:t>
      </w:r>
      <w:r>
        <w:rPr>
          <w:rFonts w:hint="eastAsia" w:ascii="仿宋_GB2312" w:hAnsi="Calibri" w:eastAsia="仿宋_GB2312" w:cs="仿宋_GB2312"/>
          <w:color w:val="auto"/>
          <w:sz w:val="32"/>
          <w:szCs w:val="32"/>
        </w:rPr>
        <w:t>以厦门经济特区建设40周年为契机，加快策划、启动和实施一批战略战役性改革举措，加强制度创新充分联动和衔接配套，持续推出一批具有厦门辨识度、显示度的改革典型和经验做法。</w:t>
      </w:r>
    </w:p>
    <w:p>
      <w:pPr>
        <w:pStyle w:val="2"/>
        <w:keepNext w:val="0"/>
        <w:keepLines w:val="0"/>
        <w:pageBreakBefore w:val="0"/>
        <w:widowControl w:val="0"/>
        <w:kinsoku/>
        <w:wordWrap/>
        <w:overflowPunct/>
        <w:topLinePunct w:val="0"/>
        <w:autoSpaceDE/>
        <w:autoSpaceDN/>
        <w:bidi w:val="0"/>
        <w:adjustRightInd/>
        <w:snapToGrid/>
        <w:spacing w:line="540" w:lineRule="exact"/>
        <w:ind w:firstLine="641"/>
        <w:textAlignment w:val="auto"/>
        <w:outlineLvl w:val="9"/>
        <w:rPr>
          <w:rFonts w:hint="eastAsia" w:ascii="仿宋_GB2312" w:hAnsi="Calibri"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rPr>
        <w:t>（二）推动</w:t>
      </w:r>
      <w:r>
        <w:rPr>
          <w:rFonts w:hint="eastAsia" w:ascii="楷体_GB2312" w:hAnsi="楷体_GB2312" w:eastAsia="楷体_GB2312" w:cs="楷体_GB2312"/>
          <w:b w:val="0"/>
          <w:bCs w:val="0"/>
          <w:color w:val="auto"/>
          <w:sz w:val="32"/>
          <w:szCs w:val="32"/>
          <w:lang w:eastAsia="zh-CN"/>
        </w:rPr>
        <w:t>改革取得新突破</w:t>
      </w:r>
      <w:r>
        <w:rPr>
          <w:rFonts w:hint="eastAsia" w:ascii="楷体_GB2312" w:hAnsi="楷体_GB2312" w:eastAsia="楷体_GB2312" w:cs="楷体_GB2312"/>
          <w:b w:val="0"/>
          <w:bCs w:val="0"/>
          <w:color w:val="auto"/>
          <w:sz w:val="32"/>
          <w:szCs w:val="32"/>
        </w:rPr>
        <w:t>。</w:t>
      </w:r>
      <w:r>
        <w:rPr>
          <w:rFonts w:hint="eastAsia" w:ascii="仿宋_GB2312" w:hAnsi="Calibri" w:eastAsia="仿宋_GB2312" w:cs="仿宋_GB2312"/>
          <w:color w:val="auto"/>
          <w:sz w:val="32"/>
          <w:szCs w:val="32"/>
        </w:rPr>
        <w:t>围绕统筹常态化疫情防控和经济社会发展工作，推动我市在完善要素市场化配置、创新链产业链融合发展、市场化法治化国际化营商环境、更高水平开放型经济体制、民生服务供给体制、生态环境和城市空间治理体制等重点领域先行先试，扎实有效推动“1</w:t>
      </w:r>
      <w:bookmarkStart w:id="0" w:name="_GoBack"/>
      <w:bookmarkEnd w:id="0"/>
      <w:r>
        <w:rPr>
          <w:rFonts w:hint="eastAsia" w:ascii="仿宋_GB2312" w:hAnsi="Calibri" w:eastAsia="仿宋_GB2312" w:cs="仿宋_GB2312"/>
          <w:color w:val="auto"/>
          <w:sz w:val="32"/>
          <w:szCs w:val="32"/>
        </w:rPr>
        <w:t>+9”行动方案</w:t>
      </w:r>
      <w:r>
        <w:rPr>
          <w:rFonts w:hint="eastAsia" w:ascii="仿宋_GB2312" w:hAnsi="Calibri" w:eastAsia="仿宋_GB2312" w:cs="仿宋_GB2312"/>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1"/>
        <w:textAlignment w:val="auto"/>
        <w:outlineLvl w:val="9"/>
        <w:rPr>
          <w:rFonts w:hint="eastAsia" w:ascii="仿宋_GB2312" w:hAnsi="Calibri"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rPr>
        <w:t>（三）</w:t>
      </w:r>
      <w:r>
        <w:rPr>
          <w:rFonts w:hint="eastAsia" w:ascii="楷体_GB2312" w:hAnsi="楷体_GB2312" w:eastAsia="楷体_GB2312" w:cs="楷体_GB2312"/>
          <w:b w:val="0"/>
          <w:bCs w:val="0"/>
          <w:color w:val="auto"/>
          <w:sz w:val="32"/>
          <w:szCs w:val="32"/>
          <w:lang w:eastAsia="zh-CN"/>
        </w:rPr>
        <w:t>抓好发展战略落实</w:t>
      </w:r>
      <w:r>
        <w:rPr>
          <w:rFonts w:hint="eastAsia" w:ascii="楷体_GB2312" w:hAnsi="楷体_GB2312" w:eastAsia="楷体_GB2312" w:cs="楷体_GB2312"/>
          <w:b w:val="0"/>
          <w:bCs w:val="0"/>
          <w:color w:val="auto"/>
          <w:sz w:val="32"/>
          <w:szCs w:val="32"/>
        </w:rPr>
        <w:t>。</w:t>
      </w:r>
      <w:r>
        <w:rPr>
          <w:rFonts w:hint="eastAsia" w:ascii="仿宋_GB2312" w:hAnsi="Calibri" w:eastAsia="仿宋_GB2312" w:cs="仿宋_GB2312"/>
          <w:color w:val="auto"/>
          <w:sz w:val="32"/>
          <w:szCs w:val="32"/>
        </w:rPr>
        <w:t>以《厦门高素质高颜值现代化国际化城市发展战略（2020-2035）》为牵引，围绕</w:t>
      </w:r>
      <w:r>
        <w:rPr>
          <w:rFonts w:hint="eastAsia" w:ascii="仿宋_GB2312" w:hAnsi="Calibri" w:eastAsia="仿宋_GB2312" w:cs="仿宋_GB2312"/>
          <w:color w:val="auto"/>
          <w:sz w:val="32"/>
          <w:szCs w:val="32"/>
          <w:lang w:eastAsia="zh-CN"/>
        </w:rPr>
        <w:t>“十四五”规划实施、</w:t>
      </w:r>
      <w:r>
        <w:rPr>
          <w:rFonts w:hint="eastAsia" w:ascii="仿宋_GB2312" w:hAnsi="Calibri" w:eastAsia="仿宋_GB2312" w:cs="仿宋_GB2312"/>
          <w:color w:val="auto"/>
          <w:sz w:val="32"/>
          <w:szCs w:val="32"/>
        </w:rPr>
        <w:t>建设金砖</w:t>
      </w:r>
      <w:r>
        <w:rPr>
          <w:rFonts w:hint="eastAsia" w:ascii="仿宋_GB2312" w:hAnsi="Calibri" w:eastAsia="仿宋_GB2312" w:cs="仿宋_GB2312"/>
          <w:color w:val="auto"/>
          <w:sz w:val="32"/>
          <w:szCs w:val="32"/>
          <w:lang w:eastAsia="zh-CN"/>
        </w:rPr>
        <w:t>国家新工业革命伙伴关系</w:t>
      </w:r>
      <w:r>
        <w:rPr>
          <w:rFonts w:hint="eastAsia" w:ascii="仿宋_GB2312" w:hAnsi="Calibri" w:eastAsia="仿宋_GB2312" w:cs="仿宋_GB2312"/>
          <w:color w:val="auto"/>
          <w:sz w:val="32"/>
          <w:szCs w:val="32"/>
        </w:rPr>
        <w:t>创新基地、打造高质量发展引领示范区等重大任务，深入研判改革和财经工作的形势和任务，发挥战略顾问委员会和新型智库作用，找准着力点和突破口，</w:t>
      </w:r>
      <w:r>
        <w:rPr>
          <w:rFonts w:hint="eastAsia" w:ascii="仿宋_GB2312" w:hAnsi="Calibri" w:eastAsia="仿宋_GB2312" w:cs="仿宋_GB2312"/>
          <w:color w:val="auto"/>
          <w:sz w:val="32"/>
          <w:szCs w:val="32"/>
          <w:lang w:eastAsia="zh-CN"/>
        </w:rPr>
        <w:t>督促各区各部门落实配套措施和专项行动。</w:t>
      </w:r>
    </w:p>
    <w:p>
      <w:pPr>
        <w:tabs>
          <w:tab w:val="left" w:pos="7513"/>
        </w:tabs>
        <w:adjustRightInd w:val="0"/>
        <w:snapToGrid w:val="0"/>
        <w:spacing w:line="560" w:lineRule="exact"/>
        <w:ind w:firstLine="640" w:firstLineChars="200"/>
        <w:rPr>
          <w:rFonts w:hint="eastAsia" w:ascii="仿宋_GB2312" w:hAnsi="仿宋" w:eastAsia="仿宋_GB2312" w:cs="仿宋_GB2312"/>
          <w:color w:val="FF0000"/>
          <w:sz w:val="32"/>
          <w:szCs w:val="32"/>
        </w:rPr>
      </w:pPr>
    </w:p>
    <w:p>
      <w:pPr>
        <w:tabs>
          <w:tab w:val="left" w:pos="7513"/>
        </w:tabs>
        <w:adjustRightInd w:val="0"/>
        <w:snapToGrid w:val="0"/>
        <w:spacing w:line="560" w:lineRule="exact"/>
        <w:jc w:val="center"/>
        <w:rPr>
          <w:rFonts w:hint="eastAsia" w:ascii="仿宋_GB2312" w:hAnsi="仿宋" w:eastAsia="仿宋_GB2312" w:cs="仿宋_GB2312"/>
          <w:sz w:val="32"/>
          <w:szCs w:val="32"/>
        </w:rPr>
      </w:pPr>
      <w:r>
        <w:rPr>
          <w:rFonts w:hint="eastAsia" w:ascii="黑体" w:hAnsi="黑体" w:eastAsia="黑体"/>
          <w:sz w:val="32"/>
          <w:szCs w:val="32"/>
        </w:rPr>
        <w:t>第二部分  2021年部门预算说明</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一、2021年部门预算收支总体情况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rPr>
        <w:t>中共厦门市委改革办</w:t>
      </w:r>
      <w:r>
        <w:rPr>
          <w:rFonts w:hint="eastAsia" w:ascii="仿宋_GB2312" w:hAnsi="仿宋" w:eastAsia="仿宋_GB2312"/>
          <w:sz w:val="32"/>
          <w:szCs w:val="32"/>
        </w:rPr>
        <w:t>2021年收</w:t>
      </w:r>
      <w:r>
        <w:rPr>
          <w:rFonts w:hint="eastAsia" w:ascii="仿宋_GB2312" w:hAnsi="仿宋" w:eastAsia="仿宋_GB2312" w:cs="仿宋_GB2312"/>
          <w:sz w:val="32"/>
          <w:szCs w:val="32"/>
        </w:rPr>
        <w:t>入预算为</w:t>
      </w:r>
      <w:r>
        <w:rPr>
          <w:rFonts w:ascii="仿宋_GB2312" w:hAnsi="仿宋" w:eastAsia="仿宋_GB2312" w:cs="仿宋_GB2312"/>
          <w:sz w:val="32"/>
          <w:szCs w:val="32"/>
        </w:rPr>
        <w:t>762.78</w:t>
      </w:r>
      <w:r>
        <w:rPr>
          <w:rFonts w:hint="eastAsia" w:ascii="仿宋_GB2312" w:hAnsi="仿宋" w:eastAsia="仿宋_GB2312" w:cs="仿宋_GB2312"/>
          <w:sz w:val="32"/>
          <w:szCs w:val="32"/>
        </w:rPr>
        <w:t>万</w:t>
      </w:r>
      <w:r>
        <w:rPr>
          <w:rFonts w:hint="eastAsia" w:ascii="仿宋_GB2312" w:hAnsi="仿宋" w:eastAsia="仿宋_GB2312"/>
          <w:sz w:val="32"/>
          <w:szCs w:val="32"/>
        </w:rPr>
        <w:t>元，</w:t>
      </w:r>
      <w:r>
        <w:rPr>
          <w:rFonts w:hint="eastAsia" w:ascii="仿宋_GB2312" w:hAnsi="仿宋" w:eastAsia="仿宋_GB2312" w:cs="仿宋_GB2312"/>
          <w:sz w:val="32"/>
          <w:szCs w:val="32"/>
        </w:rPr>
        <w:t>比2020年预算数增加125.87万元，增长19.76％</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财政拨款收入762.78万元，其中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rPr>
        <w:t>762.78</w:t>
      </w:r>
      <w:r>
        <w:rPr>
          <w:rFonts w:hint="eastAsia" w:ascii="仿宋_GB2312" w:hAnsi="仿宋" w:eastAsia="仿宋_GB2312"/>
          <w:sz w:val="32"/>
          <w:szCs w:val="32"/>
        </w:rPr>
        <w:t>万元，政府性基金拨款收入</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财政专户管理的事业收入</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事业收入(含批准留用)</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4.事业单位经营收入0万元；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5.上级补助收入0万元；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w:t>
      </w:r>
      <w:r>
        <w:rPr>
          <w:rFonts w:hint="eastAsia"/>
        </w:rPr>
        <w:t xml:space="preserve"> </w:t>
      </w:r>
      <w:r>
        <w:rPr>
          <w:rFonts w:hint="eastAsia" w:ascii="仿宋_GB2312" w:hAnsi="仿宋" w:eastAsia="仿宋_GB2312"/>
          <w:sz w:val="32"/>
          <w:szCs w:val="32"/>
        </w:rPr>
        <w:t>附属单位上缴收入0万元；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7.历年结余0万元；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8.其他收入0万元；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9.其他资金</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rPr>
        <w:t>中共厦门市委改革办</w:t>
      </w:r>
      <w:r>
        <w:rPr>
          <w:rFonts w:hint="eastAsia" w:ascii="仿宋_GB2312" w:hAnsi="仿宋" w:eastAsia="仿宋_GB2312"/>
          <w:sz w:val="32"/>
          <w:szCs w:val="32"/>
        </w:rPr>
        <w:t>2021年支出预算为</w:t>
      </w:r>
      <w:r>
        <w:rPr>
          <w:rFonts w:hint="eastAsia" w:ascii="仿宋_GB2312" w:hAnsi="仿宋" w:eastAsia="仿宋_GB2312" w:cs="仿宋_GB2312"/>
          <w:sz w:val="32"/>
          <w:szCs w:val="32"/>
        </w:rPr>
        <w:t>762.78</w:t>
      </w:r>
      <w:r>
        <w:rPr>
          <w:rFonts w:hint="eastAsia" w:ascii="仿宋_GB2312" w:hAnsi="仿宋" w:eastAsia="仿宋_GB2312"/>
          <w:sz w:val="32"/>
          <w:szCs w:val="32"/>
        </w:rPr>
        <w:t>万元，</w:t>
      </w:r>
      <w:r>
        <w:rPr>
          <w:rFonts w:hint="eastAsia" w:ascii="仿宋_GB2312" w:hAnsi="仿宋" w:eastAsia="仿宋_GB2312" w:cs="仿宋_GB2312"/>
          <w:sz w:val="32"/>
          <w:szCs w:val="32"/>
        </w:rPr>
        <w:t>比2020年预算数增加125.87万元，增长19.76％</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hint="eastAsia" w:ascii="仿宋_GB2312" w:hAnsi="仿宋" w:eastAsia="仿宋_GB2312"/>
          <w:color w:val="0000FF"/>
          <w:sz w:val="32"/>
          <w:szCs w:val="32"/>
        </w:rPr>
      </w:pPr>
      <w:r>
        <w:rPr>
          <w:rFonts w:hint="eastAsia" w:ascii="仿宋_GB2312" w:hAnsi="仿宋" w:eastAsia="仿宋_GB2312"/>
          <w:sz w:val="32"/>
          <w:szCs w:val="32"/>
        </w:rPr>
        <w:t>1.基本支出</w:t>
      </w:r>
      <w:r>
        <w:rPr>
          <w:rFonts w:ascii="仿宋_GB2312" w:hAnsi="仿宋" w:eastAsia="仿宋_GB2312" w:cs="仿宋_GB2312"/>
          <w:sz w:val="32"/>
          <w:szCs w:val="32"/>
        </w:rPr>
        <w:t>462.78</w:t>
      </w:r>
      <w:r>
        <w:rPr>
          <w:rFonts w:hint="eastAsia" w:ascii="仿宋_GB2312" w:hAnsi="仿宋" w:eastAsia="仿宋_GB2312"/>
          <w:sz w:val="32"/>
          <w:szCs w:val="32"/>
        </w:rPr>
        <w:t>万元，其中，人员支出</w:t>
      </w:r>
      <w:r>
        <w:rPr>
          <w:rFonts w:ascii="仿宋_GB2312" w:hAnsi="仿宋" w:eastAsia="仿宋_GB2312" w:cs="仿宋_GB2312"/>
          <w:sz w:val="32"/>
          <w:szCs w:val="32"/>
        </w:rPr>
        <w:t>378.03</w:t>
      </w:r>
      <w:r>
        <w:rPr>
          <w:rFonts w:hint="eastAsia" w:ascii="仿宋_GB2312" w:hAnsi="仿宋" w:eastAsia="仿宋_GB2312"/>
          <w:sz w:val="32"/>
          <w:szCs w:val="32"/>
        </w:rPr>
        <w:t>万元，公用支出</w:t>
      </w:r>
      <w:r>
        <w:rPr>
          <w:rFonts w:ascii="仿宋_GB2312" w:hAnsi="仿宋" w:eastAsia="仿宋_GB2312" w:cs="仿宋_GB2312"/>
          <w:sz w:val="32"/>
          <w:szCs w:val="32"/>
        </w:rPr>
        <w:t>84.75</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2.项目支出</w:t>
      </w:r>
      <w:r>
        <w:rPr>
          <w:rFonts w:ascii="仿宋_GB2312" w:hAnsi="仿宋" w:eastAsia="仿宋_GB2312" w:cs="仿宋_GB2312"/>
          <w:sz w:val="32"/>
          <w:szCs w:val="32"/>
        </w:rPr>
        <w:t>300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3.事业单位经营支出</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宋体"/>
          <w:bCs/>
          <w:sz w:val="32"/>
          <w:szCs w:val="32"/>
        </w:rPr>
        <w:t>2021年</w:t>
      </w:r>
      <w:r>
        <w:rPr>
          <w:rFonts w:hint="eastAsia" w:ascii="仿宋_GB2312" w:hAnsi="仿宋" w:eastAsia="仿宋_GB2312" w:cs="仿宋_GB2312"/>
          <w:sz w:val="32"/>
          <w:szCs w:val="32"/>
        </w:rPr>
        <w:t>度一般公共预算支出762.78万元，比2020年预算数增加125.87万元，增长19.76%，主要是由于人员增加。支出项目(按项级科目分类统计)包括：</w:t>
      </w:r>
      <w:r>
        <w:rPr>
          <w:rFonts w:hint="eastAsia" w:ascii="仿宋_GB2312" w:hAnsi="仿宋" w:eastAsia="仿宋_GB2312"/>
          <w:sz w:val="32"/>
          <w:szCs w:val="32"/>
        </w:rPr>
        <w:t xml:space="preserve"> </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（一）行政运行</w:t>
      </w:r>
      <w:r>
        <w:rPr>
          <w:rFonts w:ascii="仿宋_GB2312" w:hAnsi="仿宋" w:eastAsia="仿宋_GB2312"/>
          <w:sz w:val="32"/>
          <w:szCs w:val="32"/>
        </w:rPr>
        <w:t>431.39</w:t>
      </w:r>
      <w:r>
        <w:rPr>
          <w:rFonts w:hint="eastAsia" w:ascii="仿宋_GB2312" w:hAnsi="仿宋" w:eastAsia="仿宋_GB2312"/>
          <w:sz w:val="32"/>
          <w:szCs w:val="32"/>
        </w:rPr>
        <w:t>万元。主要用于人员经费和公用经费支出。</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（二）一般行政管理事务300万元。主要用于本单位专项业务经费支出。</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（三）机关事业单位基本养老保险缴费支出</w:t>
      </w:r>
      <w:r>
        <w:rPr>
          <w:rFonts w:ascii="仿宋_GB2312" w:hAnsi="仿宋" w:eastAsia="仿宋_GB2312"/>
          <w:sz w:val="32"/>
          <w:szCs w:val="32"/>
        </w:rPr>
        <w:t>19.38</w:t>
      </w:r>
      <w:r>
        <w:rPr>
          <w:rFonts w:hint="eastAsia" w:ascii="仿宋_GB2312" w:hAnsi="仿宋" w:eastAsia="仿宋_GB2312"/>
          <w:sz w:val="32"/>
          <w:szCs w:val="32"/>
        </w:rPr>
        <w:t>万元。主要用于单位基本养老保险缴费支出。</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（四）行政单位医疗</w:t>
      </w:r>
      <w:r>
        <w:rPr>
          <w:rFonts w:ascii="仿宋_GB2312" w:hAnsi="仿宋" w:eastAsia="仿宋_GB2312"/>
          <w:sz w:val="32"/>
          <w:szCs w:val="32"/>
        </w:rPr>
        <w:t>9.12</w:t>
      </w:r>
      <w:r>
        <w:rPr>
          <w:rFonts w:hint="eastAsia" w:ascii="仿宋_GB2312" w:hAnsi="仿宋" w:eastAsia="仿宋_GB2312"/>
          <w:sz w:val="32"/>
          <w:szCs w:val="32"/>
        </w:rPr>
        <w:t>万元，主要用于单位医疗保险支出。</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（五）公务员医疗补助</w:t>
      </w:r>
      <w:r>
        <w:rPr>
          <w:rFonts w:ascii="仿宋_GB2312" w:hAnsi="仿宋" w:eastAsia="仿宋_GB2312"/>
          <w:sz w:val="32"/>
          <w:szCs w:val="32"/>
        </w:rPr>
        <w:t>2.89</w:t>
      </w:r>
      <w:r>
        <w:rPr>
          <w:rFonts w:hint="eastAsia" w:ascii="仿宋_GB2312" w:hAnsi="仿宋" w:eastAsia="仿宋_GB2312"/>
          <w:sz w:val="32"/>
          <w:szCs w:val="32"/>
        </w:rPr>
        <w:t>万元。主要用于单位公务员医疗补助支出。</w:t>
      </w:r>
    </w:p>
    <w:p>
      <w:pPr>
        <w:tabs>
          <w:tab w:val="left" w:pos="7513"/>
        </w:tabs>
        <w:adjustRightInd w:val="0"/>
        <w:snapToGrid w:val="0"/>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2021年度政府性基金支出0万元，与2020年预算数相比无变化，主要原因是：本单位没有安排使用政府性基金预算拨款支出。</w:t>
      </w:r>
    </w:p>
    <w:p>
      <w:pPr>
        <w:tabs>
          <w:tab w:val="left" w:pos="7513"/>
        </w:tabs>
        <w:adjustRightInd w:val="0"/>
        <w:snapToGrid w:val="0"/>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中共厦门市委改革办2021年“三公”经费财政拨款预算数为2万元，其中：因公出国（境）经费0万元，公务接待费2万元，公务用车购置及运行费0万元。具体情况如下：</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2021年预算安排0万元。与上年预算相比未变化，主要原因是:</w:t>
      </w:r>
      <w:r>
        <w:rPr>
          <w:rFonts w:ascii="仿宋_GB2312" w:hAnsi="仿宋" w:eastAsia="仿宋_GB2312" w:cs="宋体"/>
          <w:kern w:val="0"/>
          <w:sz w:val="32"/>
          <w:szCs w:val="32"/>
        </w:rPr>
        <w:t xml:space="preserve"> 本单位没有单独组团因公出国（境）计划，故按规定未编报因公出国（境）经费预算。</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（二）公务接待费</w:t>
      </w:r>
    </w:p>
    <w:p>
      <w:pPr>
        <w:tabs>
          <w:tab w:val="left" w:pos="7513"/>
        </w:tabs>
        <w:adjustRightInd w:val="0"/>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2021年预算安排2万元。主要用于</w:t>
      </w:r>
      <w:r>
        <w:rPr>
          <w:rFonts w:ascii="仿宋_GB2312" w:hAnsi="宋体" w:eastAsia="仿宋_GB2312" w:cs="宋体"/>
          <w:kern w:val="0"/>
          <w:sz w:val="32"/>
          <w:szCs w:val="32"/>
        </w:rPr>
        <w:t>省、市对口单位来厦调研、考察</w:t>
      </w:r>
      <w:r>
        <w:rPr>
          <w:rFonts w:hint="eastAsia" w:ascii="仿宋_GB2312" w:hAnsi="宋体" w:eastAsia="仿宋_GB2312" w:cs="宋体"/>
          <w:kern w:val="0"/>
          <w:sz w:val="32"/>
          <w:szCs w:val="32"/>
        </w:rPr>
        <w:t>等方面的接待活动。与上年预算相比未变化，主要原因是:从严控制公务接待经费</w:t>
      </w:r>
      <w:r>
        <w:rPr>
          <w:rFonts w:hint="eastAsia" w:ascii="仿宋_GB2312" w:hAnsi="仿宋" w:eastAsia="仿宋_GB2312"/>
          <w:sz w:val="32"/>
          <w:szCs w:val="32"/>
        </w:rPr>
        <w:t>财政拨款</w:t>
      </w:r>
      <w:r>
        <w:rPr>
          <w:rFonts w:ascii="仿宋_GB2312" w:hAnsi="仿宋" w:eastAsia="仿宋_GB2312" w:cs="宋体"/>
          <w:kern w:val="0"/>
          <w:sz w:val="32"/>
          <w:szCs w:val="32"/>
        </w:rPr>
        <w:t>预算</w:t>
      </w:r>
      <w:r>
        <w:rPr>
          <w:rFonts w:hint="eastAsia" w:ascii="仿宋_GB2312" w:hAnsi="宋体" w:eastAsia="仿宋_GB2312" w:cs="宋体"/>
          <w:kern w:val="0"/>
          <w:sz w:val="32"/>
          <w:szCs w:val="32"/>
        </w:rPr>
        <w:t>。</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2021年预算安排0万元，其中：公务用车运行费0万元，主要用于公务用车燃油、维修、保险等方面支出；公务用车购置费0万元。与上年预算相比未变化，主要原因是:</w:t>
      </w:r>
      <w:r>
        <w:rPr>
          <w:rFonts w:ascii="仿宋_GB2312" w:hAnsi="仿宋" w:eastAsia="仿宋_GB2312" w:cs="宋体"/>
          <w:kern w:val="0"/>
          <w:sz w:val="32"/>
          <w:szCs w:val="32"/>
        </w:rPr>
        <w:t xml:space="preserve"> 公务车辆统一由厦门市机关事务管理局编制预算。</w:t>
      </w:r>
    </w:p>
    <w:p>
      <w:pPr>
        <w:tabs>
          <w:tab w:val="left" w:pos="7513"/>
        </w:tabs>
        <w:adjustRightInd w:val="0"/>
        <w:snapToGrid w:val="0"/>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2021年</w:t>
      </w:r>
      <w:r>
        <w:rPr>
          <w:rFonts w:hint="eastAsia" w:ascii="仿宋_GB2312" w:hAnsi="仿宋" w:eastAsia="仿宋_GB2312" w:cs="仿宋_GB2312"/>
          <w:sz w:val="32"/>
          <w:szCs w:val="32"/>
        </w:rPr>
        <w:t>中共厦门市委改革办</w:t>
      </w:r>
      <w:r>
        <w:rPr>
          <w:rFonts w:hint="eastAsia" w:ascii="仿宋_GB2312" w:hAnsi="仿宋" w:eastAsia="仿宋_GB2312" w:cs="宋体"/>
          <w:kern w:val="0"/>
          <w:sz w:val="32"/>
          <w:szCs w:val="32"/>
        </w:rPr>
        <w:t>的机关运行经费财政拨款预算84.75万元，比2020年预算增加41.01万元，增长93.76%。主要原因是：本单位在职人员增加；非在编人员属劳务派遣人员，经费从“其他工资福利支出”调整到“劳务费”列支，纳入机关运行经费财政拨款预算。</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2021年中共厦门市委改革办政府采购预算总额5.98万元，其中：政府采购货物预算5.98万元，政府采购工程预算0万元，政府采购服务预算0万元。</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至2020年12月31日，</w:t>
      </w:r>
      <w:r>
        <w:rPr>
          <w:rFonts w:hint="eastAsia" w:ascii="仿宋_GB2312" w:hAnsi="仿宋" w:eastAsia="仿宋_GB2312" w:cs="宋体"/>
          <w:kern w:val="0"/>
          <w:sz w:val="32"/>
          <w:szCs w:val="32"/>
        </w:rPr>
        <w:t>中共厦门市委改革办</w:t>
      </w:r>
      <w:r>
        <w:rPr>
          <w:rFonts w:hint="eastAsia" w:ascii="仿宋_GB2312" w:hAnsi="仿宋" w:eastAsia="仿宋_GB2312" w:cs="仿宋_GB2312"/>
          <w:sz w:val="32"/>
          <w:szCs w:val="32"/>
        </w:rPr>
        <w:t>所属各预算单位共有车辆0辆，</w:t>
      </w:r>
      <w:r>
        <w:rPr>
          <w:rFonts w:ascii="仿宋_GB2312" w:hAnsi="仿宋" w:eastAsia="仿宋_GB2312" w:cs="仿宋_GB2312"/>
          <w:sz w:val="32"/>
          <w:szCs w:val="32"/>
        </w:rPr>
        <w:t>单位价值50万以上通用设备</w:t>
      </w:r>
      <w:r>
        <w:rPr>
          <w:rFonts w:hint="eastAsia" w:ascii="仿宋_GB2312" w:hAnsi="仿宋" w:eastAsia="仿宋_GB2312" w:cs="仿宋_GB2312"/>
          <w:sz w:val="32"/>
          <w:szCs w:val="32"/>
        </w:rPr>
        <w:t>0</w:t>
      </w:r>
      <w:r>
        <w:rPr>
          <w:rFonts w:ascii="仿宋_GB2312" w:hAnsi="仿宋" w:eastAsia="仿宋_GB2312" w:cs="仿宋_GB2312"/>
          <w:sz w:val="32"/>
          <w:szCs w:val="32"/>
        </w:rPr>
        <w:t>台（套）</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rPr>
        <w:t>0</w:t>
      </w:r>
      <w:r>
        <w:rPr>
          <w:rFonts w:ascii="仿宋_GB2312" w:hAnsi="仿宋" w:eastAsia="仿宋_GB2312" w:cs="仿宋_GB2312"/>
          <w:sz w:val="32"/>
          <w:szCs w:val="32"/>
        </w:rPr>
        <w:t>台（套）</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中共厦门市委改革办2021年实行绩效目标管理的一级项目0个，涉及一般公共预算拨款0万元。主要原因：本单位</w:t>
      </w:r>
      <w:r>
        <w:rPr>
          <w:rFonts w:ascii="仿宋_GB2312" w:hAnsi="仿宋" w:eastAsia="仿宋_GB2312" w:cs="宋体"/>
          <w:kern w:val="0"/>
          <w:sz w:val="32"/>
          <w:szCs w:val="32"/>
        </w:rPr>
        <w:t>没有需编制绩效目标管理的一级项目。</w:t>
      </w: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w:t>
      </w:r>
      <w:r>
        <w:rPr>
          <w:rFonts w:ascii="仿宋_GB2312" w:hAnsi="仿宋" w:eastAsia="仿宋_GB2312" w:cs="宋体"/>
          <w:kern w:val="0"/>
          <w:sz w:val="32"/>
          <w:szCs w:val="32"/>
        </w:rPr>
        <w:t>本单位没有需要增加说明的其他名词解释。</w:t>
      </w: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第四部分  2021年部门预算附表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8</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FF466"/>
    <w:multiLevelType w:val="singleLevel"/>
    <w:tmpl w:val="7FDFF46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56"/>
    <w:rsid w:val="00001E78"/>
    <w:rsid w:val="000049AC"/>
    <w:rsid w:val="00014BC8"/>
    <w:rsid w:val="00017205"/>
    <w:rsid w:val="000202BF"/>
    <w:rsid w:val="00035FCD"/>
    <w:rsid w:val="000410C4"/>
    <w:rsid w:val="0005340A"/>
    <w:rsid w:val="000579BF"/>
    <w:rsid w:val="00064213"/>
    <w:rsid w:val="00067E77"/>
    <w:rsid w:val="00071064"/>
    <w:rsid w:val="00087AE7"/>
    <w:rsid w:val="00095DF6"/>
    <w:rsid w:val="000A1317"/>
    <w:rsid w:val="000B3FA9"/>
    <w:rsid w:val="000B4506"/>
    <w:rsid w:val="000B72A0"/>
    <w:rsid w:val="000C244E"/>
    <w:rsid w:val="000C5D46"/>
    <w:rsid w:val="000C6D4E"/>
    <w:rsid w:val="000D56B4"/>
    <w:rsid w:val="000E0A3E"/>
    <w:rsid w:val="000F0054"/>
    <w:rsid w:val="0010159D"/>
    <w:rsid w:val="0010228F"/>
    <w:rsid w:val="0010339E"/>
    <w:rsid w:val="00105E19"/>
    <w:rsid w:val="00110CFE"/>
    <w:rsid w:val="00123161"/>
    <w:rsid w:val="00126612"/>
    <w:rsid w:val="00130779"/>
    <w:rsid w:val="00144A28"/>
    <w:rsid w:val="00146A23"/>
    <w:rsid w:val="00152FB9"/>
    <w:rsid w:val="00157C25"/>
    <w:rsid w:val="0016055E"/>
    <w:rsid w:val="0016483F"/>
    <w:rsid w:val="00164F22"/>
    <w:rsid w:val="00164F84"/>
    <w:rsid w:val="00170260"/>
    <w:rsid w:val="00170421"/>
    <w:rsid w:val="00170A1E"/>
    <w:rsid w:val="0017514D"/>
    <w:rsid w:val="001C15E1"/>
    <w:rsid w:val="001C1915"/>
    <w:rsid w:val="001C1B5A"/>
    <w:rsid w:val="001D2705"/>
    <w:rsid w:val="001D4A84"/>
    <w:rsid w:val="001F4E8F"/>
    <w:rsid w:val="001F57A4"/>
    <w:rsid w:val="0020259B"/>
    <w:rsid w:val="00206F25"/>
    <w:rsid w:val="0021249A"/>
    <w:rsid w:val="0021458D"/>
    <w:rsid w:val="00217AEE"/>
    <w:rsid w:val="00230250"/>
    <w:rsid w:val="00230425"/>
    <w:rsid w:val="00236379"/>
    <w:rsid w:val="00240032"/>
    <w:rsid w:val="0024072F"/>
    <w:rsid w:val="0025510A"/>
    <w:rsid w:val="00255840"/>
    <w:rsid w:val="00262676"/>
    <w:rsid w:val="00281710"/>
    <w:rsid w:val="002A3A32"/>
    <w:rsid w:val="002A4B10"/>
    <w:rsid w:val="002B5183"/>
    <w:rsid w:val="002B5654"/>
    <w:rsid w:val="002D0A15"/>
    <w:rsid w:val="002D15C4"/>
    <w:rsid w:val="002E0930"/>
    <w:rsid w:val="002E0A1B"/>
    <w:rsid w:val="002F14C8"/>
    <w:rsid w:val="002F3F0A"/>
    <w:rsid w:val="002F5913"/>
    <w:rsid w:val="002F6D41"/>
    <w:rsid w:val="002F7C64"/>
    <w:rsid w:val="003174EF"/>
    <w:rsid w:val="0032357E"/>
    <w:rsid w:val="003327C1"/>
    <w:rsid w:val="00355938"/>
    <w:rsid w:val="00373FC5"/>
    <w:rsid w:val="00376151"/>
    <w:rsid w:val="00393DF0"/>
    <w:rsid w:val="003A7C1F"/>
    <w:rsid w:val="003C021C"/>
    <w:rsid w:val="003C3714"/>
    <w:rsid w:val="003C4159"/>
    <w:rsid w:val="003C572F"/>
    <w:rsid w:val="003D0BC2"/>
    <w:rsid w:val="003D1386"/>
    <w:rsid w:val="003D50D9"/>
    <w:rsid w:val="003D7CA3"/>
    <w:rsid w:val="003F2625"/>
    <w:rsid w:val="003F3BA8"/>
    <w:rsid w:val="003F4DF9"/>
    <w:rsid w:val="00423707"/>
    <w:rsid w:val="004276CB"/>
    <w:rsid w:val="00433CE8"/>
    <w:rsid w:val="00434AF7"/>
    <w:rsid w:val="0043631A"/>
    <w:rsid w:val="00440B6F"/>
    <w:rsid w:val="004440C6"/>
    <w:rsid w:val="00463070"/>
    <w:rsid w:val="0046698E"/>
    <w:rsid w:val="00470D52"/>
    <w:rsid w:val="00471803"/>
    <w:rsid w:val="004807A0"/>
    <w:rsid w:val="004828F4"/>
    <w:rsid w:val="00483D42"/>
    <w:rsid w:val="004860AE"/>
    <w:rsid w:val="00494B88"/>
    <w:rsid w:val="004A2B24"/>
    <w:rsid w:val="004A4CA3"/>
    <w:rsid w:val="004B2FB0"/>
    <w:rsid w:val="004B7B61"/>
    <w:rsid w:val="004C5C6D"/>
    <w:rsid w:val="004D55BD"/>
    <w:rsid w:val="004E268F"/>
    <w:rsid w:val="004F023E"/>
    <w:rsid w:val="004F1F64"/>
    <w:rsid w:val="004F2681"/>
    <w:rsid w:val="00501E5E"/>
    <w:rsid w:val="00507B74"/>
    <w:rsid w:val="00510F9A"/>
    <w:rsid w:val="00517F6B"/>
    <w:rsid w:val="00520F39"/>
    <w:rsid w:val="005247F3"/>
    <w:rsid w:val="00530093"/>
    <w:rsid w:val="0053086E"/>
    <w:rsid w:val="00531437"/>
    <w:rsid w:val="00535D1B"/>
    <w:rsid w:val="005427EA"/>
    <w:rsid w:val="005600E0"/>
    <w:rsid w:val="00562700"/>
    <w:rsid w:val="00591439"/>
    <w:rsid w:val="00592479"/>
    <w:rsid w:val="00593CE6"/>
    <w:rsid w:val="005A7AFC"/>
    <w:rsid w:val="005B3DC6"/>
    <w:rsid w:val="005D4FC9"/>
    <w:rsid w:val="0060484E"/>
    <w:rsid w:val="006065AA"/>
    <w:rsid w:val="006217B8"/>
    <w:rsid w:val="00622F26"/>
    <w:rsid w:val="00623699"/>
    <w:rsid w:val="006431F5"/>
    <w:rsid w:val="0064663E"/>
    <w:rsid w:val="006520ED"/>
    <w:rsid w:val="00655BD1"/>
    <w:rsid w:val="006622E1"/>
    <w:rsid w:val="0066745B"/>
    <w:rsid w:val="006862EB"/>
    <w:rsid w:val="00690DAF"/>
    <w:rsid w:val="00691677"/>
    <w:rsid w:val="00692C79"/>
    <w:rsid w:val="00696AB3"/>
    <w:rsid w:val="00697731"/>
    <w:rsid w:val="006B552A"/>
    <w:rsid w:val="006C38B1"/>
    <w:rsid w:val="006D78DF"/>
    <w:rsid w:val="006E486E"/>
    <w:rsid w:val="006E6084"/>
    <w:rsid w:val="00704142"/>
    <w:rsid w:val="0070481C"/>
    <w:rsid w:val="00706BB6"/>
    <w:rsid w:val="00707B91"/>
    <w:rsid w:val="0073539D"/>
    <w:rsid w:val="0073622A"/>
    <w:rsid w:val="00736287"/>
    <w:rsid w:val="00737784"/>
    <w:rsid w:val="00740EB6"/>
    <w:rsid w:val="00741E31"/>
    <w:rsid w:val="007469B8"/>
    <w:rsid w:val="0076744B"/>
    <w:rsid w:val="00775CCE"/>
    <w:rsid w:val="00775FF1"/>
    <w:rsid w:val="00792C1E"/>
    <w:rsid w:val="007C2CA9"/>
    <w:rsid w:val="007D0EB2"/>
    <w:rsid w:val="007D2E34"/>
    <w:rsid w:val="007F3E57"/>
    <w:rsid w:val="007F6486"/>
    <w:rsid w:val="007F7981"/>
    <w:rsid w:val="008101C7"/>
    <w:rsid w:val="00811172"/>
    <w:rsid w:val="00813D5F"/>
    <w:rsid w:val="00823DC7"/>
    <w:rsid w:val="0083208A"/>
    <w:rsid w:val="008520DB"/>
    <w:rsid w:val="00862CB0"/>
    <w:rsid w:val="0087042D"/>
    <w:rsid w:val="00893080"/>
    <w:rsid w:val="008978F4"/>
    <w:rsid w:val="008A30EE"/>
    <w:rsid w:val="008B5503"/>
    <w:rsid w:val="008B6413"/>
    <w:rsid w:val="008C0715"/>
    <w:rsid w:val="008C19F8"/>
    <w:rsid w:val="008D0A5A"/>
    <w:rsid w:val="008D28BF"/>
    <w:rsid w:val="008E7349"/>
    <w:rsid w:val="008F0547"/>
    <w:rsid w:val="008F5315"/>
    <w:rsid w:val="009005A0"/>
    <w:rsid w:val="0090203E"/>
    <w:rsid w:val="00903B61"/>
    <w:rsid w:val="00912CF2"/>
    <w:rsid w:val="00914AED"/>
    <w:rsid w:val="009215C6"/>
    <w:rsid w:val="00921BE4"/>
    <w:rsid w:val="00923ED5"/>
    <w:rsid w:val="009254CD"/>
    <w:rsid w:val="0092759D"/>
    <w:rsid w:val="00927856"/>
    <w:rsid w:val="00936899"/>
    <w:rsid w:val="00940D41"/>
    <w:rsid w:val="009462D3"/>
    <w:rsid w:val="009526F4"/>
    <w:rsid w:val="009670DD"/>
    <w:rsid w:val="0097074C"/>
    <w:rsid w:val="00975D25"/>
    <w:rsid w:val="00982DFC"/>
    <w:rsid w:val="00984199"/>
    <w:rsid w:val="00985476"/>
    <w:rsid w:val="00985C08"/>
    <w:rsid w:val="009900FC"/>
    <w:rsid w:val="009A2495"/>
    <w:rsid w:val="009C3885"/>
    <w:rsid w:val="009D07EF"/>
    <w:rsid w:val="009E0716"/>
    <w:rsid w:val="009F49C3"/>
    <w:rsid w:val="00A04FA2"/>
    <w:rsid w:val="00A337B7"/>
    <w:rsid w:val="00A3500D"/>
    <w:rsid w:val="00A3705F"/>
    <w:rsid w:val="00A377F8"/>
    <w:rsid w:val="00A414E9"/>
    <w:rsid w:val="00A45DEC"/>
    <w:rsid w:val="00A51FCF"/>
    <w:rsid w:val="00A53717"/>
    <w:rsid w:val="00A57417"/>
    <w:rsid w:val="00A6588D"/>
    <w:rsid w:val="00A664AE"/>
    <w:rsid w:val="00A76C76"/>
    <w:rsid w:val="00A8388D"/>
    <w:rsid w:val="00AA53F0"/>
    <w:rsid w:val="00AA64C5"/>
    <w:rsid w:val="00AA6EDB"/>
    <w:rsid w:val="00AB50B4"/>
    <w:rsid w:val="00AC2A5A"/>
    <w:rsid w:val="00AC4D56"/>
    <w:rsid w:val="00AE1609"/>
    <w:rsid w:val="00AF3433"/>
    <w:rsid w:val="00B07B5B"/>
    <w:rsid w:val="00B13B74"/>
    <w:rsid w:val="00B151EF"/>
    <w:rsid w:val="00B1750D"/>
    <w:rsid w:val="00B21978"/>
    <w:rsid w:val="00B249A9"/>
    <w:rsid w:val="00B36104"/>
    <w:rsid w:val="00B421DF"/>
    <w:rsid w:val="00B44CCC"/>
    <w:rsid w:val="00B47F76"/>
    <w:rsid w:val="00B51A48"/>
    <w:rsid w:val="00B524FD"/>
    <w:rsid w:val="00B538AF"/>
    <w:rsid w:val="00B74556"/>
    <w:rsid w:val="00B85787"/>
    <w:rsid w:val="00B93B5E"/>
    <w:rsid w:val="00B96E93"/>
    <w:rsid w:val="00BB59E6"/>
    <w:rsid w:val="00BC188F"/>
    <w:rsid w:val="00BC6796"/>
    <w:rsid w:val="00BC6BA1"/>
    <w:rsid w:val="00BD4464"/>
    <w:rsid w:val="00BF52AA"/>
    <w:rsid w:val="00C05509"/>
    <w:rsid w:val="00C10F30"/>
    <w:rsid w:val="00C14913"/>
    <w:rsid w:val="00C267B8"/>
    <w:rsid w:val="00C42AED"/>
    <w:rsid w:val="00C44ACC"/>
    <w:rsid w:val="00C453D4"/>
    <w:rsid w:val="00C477B8"/>
    <w:rsid w:val="00C47A3C"/>
    <w:rsid w:val="00C6040C"/>
    <w:rsid w:val="00C635A3"/>
    <w:rsid w:val="00C67F28"/>
    <w:rsid w:val="00C73895"/>
    <w:rsid w:val="00C95A8D"/>
    <w:rsid w:val="00C969B7"/>
    <w:rsid w:val="00CA2C11"/>
    <w:rsid w:val="00CB0A46"/>
    <w:rsid w:val="00CB4F75"/>
    <w:rsid w:val="00CC4FC2"/>
    <w:rsid w:val="00CD06CA"/>
    <w:rsid w:val="00CD3520"/>
    <w:rsid w:val="00CF4921"/>
    <w:rsid w:val="00D05B4E"/>
    <w:rsid w:val="00D13D4A"/>
    <w:rsid w:val="00D31385"/>
    <w:rsid w:val="00D324D7"/>
    <w:rsid w:val="00D331CB"/>
    <w:rsid w:val="00D34396"/>
    <w:rsid w:val="00D528C1"/>
    <w:rsid w:val="00D62BA7"/>
    <w:rsid w:val="00D775EF"/>
    <w:rsid w:val="00D8545E"/>
    <w:rsid w:val="00DA3ABA"/>
    <w:rsid w:val="00DA5350"/>
    <w:rsid w:val="00DD1484"/>
    <w:rsid w:val="00DD1F77"/>
    <w:rsid w:val="00DD2F03"/>
    <w:rsid w:val="00DE10E4"/>
    <w:rsid w:val="00DE2359"/>
    <w:rsid w:val="00DE3FA2"/>
    <w:rsid w:val="00DE69FB"/>
    <w:rsid w:val="00DF15B6"/>
    <w:rsid w:val="00E003B5"/>
    <w:rsid w:val="00E04790"/>
    <w:rsid w:val="00E1431B"/>
    <w:rsid w:val="00E15F77"/>
    <w:rsid w:val="00E161DE"/>
    <w:rsid w:val="00E25C26"/>
    <w:rsid w:val="00E31FE3"/>
    <w:rsid w:val="00E41F46"/>
    <w:rsid w:val="00E45327"/>
    <w:rsid w:val="00E55E0D"/>
    <w:rsid w:val="00E64161"/>
    <w:rsid w:val="00E65694"/>
    <w:rsid w:val="00E72BE0"/>
    <w:rsid w:val="00E72D42"/>
    <w:rsid w:val="00E77F60"/>
    <w:rsid w:val="00E82A56"/>
    <w:rsid w:val="00E84480"/>
    <w:rsid w:val="00E928F0"/>
    <w:rsid w:val="00E93063"/>
    <w:rsid w:val="00EA0317"/>
    <w:rsid w:val="00EA1C9C"/>
    <w:rsid w:val="00EA5E52"/>
    <w:rsid w:val="00ED3350"/>
    <w:rsid w:val="00EE2CEE"/>
    <w:rsid w:val="00EE67C8"/>
    <w:rsid w:val="00EF53CB"/>
    <w:rsid w:val="00EF7F15"/>
    <w:rsid w:val="00F14637"/>
    <w:rsid w:val="00F15252"/>
    <w:rsid w:val="00F17F8B"/>
    <w:rsid w:val="00F22BA5"/>
    <w:rsid w:val="00F37505"/>
    <w:rsid w:val="00F40965"/>
    <w:rsid w:val="00F45576"/>
    <w:rsid w:val="00F464C6"/>
    <w:rsid w:val="00F47D23"/>
    <w:rsid w:val="00F5088D"/>
    <w:rsid w:val="00F615C9"/>
    <w:rsid w:val="00F62984"/>
    <w:rsid w:val="00F64120"/>
    <w:rsid w:val="00F655BD"/>
    <w:rsid w:val="00F87020"/>
    <w:rsid w:val="00F96BD1"/>
    <w:rsid w:val="00FA2A79"/>
    <w:rsid w:val="00FA45FF"/>
    <w:rsid w:val="00FB2748"/>
    <w:rsid w:val="00FD21BF"/>
    <w:rsid w:val="00FE2DF9"/>
    <w:rsid w:val="00FF52CF"/>
    <w:rsid w:val="00FF543A"/>
    <w:rsid w:val="00FF702C"/>
    <w:rsid w:val="3A5E0C19"/>
    <w:rsid w:val="974F78C7"/>
    <w:rsid w:val="EB6F2F0A"/>
    <w:rsid w:val="F2FFE401"/>
    <w:rsid w:val="F7FE714F"/>
    <w:rsid w:val="F7FF0A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99"/>
    <w:rPr>
      <w:rFonts w:hAnsi="Times New Roman"/>
    </w:rPr>
  </w:style>
  <w:style w:type="paragraph" w:styleId="3">
    <w:name w:val="Balloon Text"/>
    <w:basedOn w:val="1"/>
    <w:link w:val="13"/>
    <w:semiHidden/>
    <w:unhideWhenUsed/>
    <w:qFormat/>
    <w:uiPriority w:val="99"/>
    <w:rPr>
      <w:kern w:val="0"/>
      <w:sz w:val="18"/>
      <w:szCs w:val="18"/>
    </w:rPr>
  </w:style>
  <w:style w:type="paragraph" w:styleId="4">
    <w:name w:val="footer"/>
    <w:basedOn w:val="1"/>
    <w:link w:val="11"/>
    <w:unhideWhenUsed/>
    <w:qFormat/>
    <w:uiPriority w:val="99"/>
    <w:pPr>
      <w:tabs>
        <w:tab w:val="center" w:pos="4153"/>
        <w:tab w:val="right" w:pos="8306"/>
      </w:tabs>
      <w:snapToGrid w:val="0"/>
      <w:jc w:val="left"/>
    </w:pPr>
    <w:rPr>
      <w:kern w:val="0"/>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customStyle="1" w:styleId="10">
    <w:name w:val="页眉 Char"/>
    <w:link w:val="5"/>
    <w:qFormat/>
    <w:uiPriority w:val="99"/>
    <w:rPr>
      <w:sz w:val="18"/>
      <w:szCs w:val="18"/>
    </w:rPr>
  </w:style>
  <w:style w:type="character" w:customStyle="1" w:styleId="11">
    <w:name w:val="页脚 Char"/>
    <w:link w:val="4"/>
    <w:qFormat/>
    <w:uiPriority w:val="99"/>
    <w:rPr>
      <w:sz w:val="18"/>
      <w:szCs w:val="18"/>
    </w:rPr>
  </w:style>
  <w:style w:type="character" w:styleId="12">
    <w:name w:val="Placeholder Text"/>
    <w:semiHidden/>
    <w:qFormat/>
    <w:uiPriority w:val="99"/>
    <w:rPr>
      <w:color w:val="808080"/>
    </w:rPr>
  </w:style>
  <w:style w:type="character" w:customStyle="1" w:styleId="13">
    <w:name w:val="批注框文本 Char"/>
    <w:link w:val="3"/>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491</Words>
  <Characters>2802</Characters>
  <Lines>23</Lines>
  <Paragraphs>6</Paragraphs>
  <TotalTime>107</TotalTime>
  <ScaleCrop>false</ScaleCrop>
  <LinksUpToDate>false</LinksUpToDate>
  <CharactersWithSpaces>3287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2019-01-14T09:45:00Z</dcterms:created>
  <dc:creator>Anonymous</dc:creator>
  <cp:lastModifiedBy>吴宇轩</cp:lastModifiedBy>
  <cp:lastPrinted>2021-02-07T15:23:31Z</cp:lastPrinted>
  <dcterms:modified xsi:type="dcterms:W3CDTF">2021-02-07T16:45:13Z</dcterms:modified>
  <dc:title>附件2-4</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