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jc w:val="center"/>
        <w:rPr>
          <w:rFonts w:ascii="方正小标宋简体" w:hAnsi="宋体" w:eastAsia="方正小标宋简体"/>
          <w:sz w:val="44"/>
          <w:szCs w:val="44"/>
          <w:shd w:val="clear" w:color="auto" w:fill="FFFFFF"/>
        </w:rPr>
      </w:pPr>
      <w:r>
        <w:rPr>
          <w:rFonts w:hint="eastAsia" w:ascii="方正小标宋简体" w:hAnsi="宋体" w:eastAsia="方正小标宋简体"/>
          <w:sz w:val="44"/>
          <w:szCs w:val="44"/>
          <w:shd w:val="clear" w:color="auto" w:fill="FFFFFF"/>
        </w:rPr>
        <w:t>2017</w:t>
      </w:r>
      <w:r>
        <w:rPr>
          <w:rFonts w:hint="eastAsia" w:ascii="方正小标宋简体" w:eastAsia="方正小标宋简体"/>
          <w:sz w:val="44"/>
          <w:szCs w:val="44"/>
          <w:shd w:val="clear" w:color="auto" w:fill="FFFFFF"/>
        </w:rPr>
        <w:t>年度中国</w:t>
      </w:r>
      <w:r>
        <w:rPr>
          <w:rFonts w:hint="eastAsia" w:ascii="方正小标宋简体" w:hAnsi="宋体" w:eastAsia="方正小标宋简体"/>
          <w:sz w:val="44"/>
          <w:szCs w:val="44"/>
          <w:shd w:val="clear" w:color="auto" w:fill="FFFFFF"/>
        </w:rPr>
        <w:t>致公党厦门市委员会部门决算说明</w:t>
      </w:r>
    </w:p>
    <w:p>
      <w:pPr>
        <w:shd w:val="clear" w:color="auto" w:fill="FFFFFF"/>
        <w:adjustRightInd w:val="0"/>
        <w:snapToGrid w:val="0"/>
        <w:spacing w:line="620" w:lineRule="exact"/>
        <w:ind w:firstLine="640" w:firstLineChars="20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按照《中华人民共和国预算法》以及《厦门市财政局关于中国致公党厦门市委员会2017年度部门决算的批复》（厦财决批行〔2018〕26号）的批复，现将我单位2017年度部门决算说明如下 :</w:t>
      </w:r>
    </w:p>
    <w:p>
      <w:pPr>
        <w:pStyle w:val="28"/>
        <w:numPr>
          <w:ilvl w:val="0"/>
          <w:numId w:val="1"/>
        </w:numPr>
        <w:adjustRightInd w:val="0"/>
        <w:snapToGrid w:val="0"/>
        <w:spacing w:line="620" w:lineRule="exact"/>
        <w:ind w:firstLineChars="0"/>
        <w:rPr>
          <w:rFonts w:ascii="黑体" w:hAnsi="仿宋" w:eastAsia="黑体"/>
          <w:sz w:val="32"/>
          <w:szCs w:val="32"/>
        </w:rPr>
      </w:pPr>
      <w:r>
        <w:rPr>
          <w:rFonts w:hint="eastAsia" w:ascii="黑体" w:eastAsia="黑体"/>
          <w:sz w:val="32"/>
          <w:szCs w:val="32"/>
        </w:rPr>
        <w:t>部门主要职责</w:t>
      </w:r>
    </w:p>
    <w:p>
      <w:pPr>
        <w:shd w:val="clear" w:color="auto" w:fill="FFFFFF"/>
        <w:adjustRightInd w:val="0"/>
        <w:snapToGrid w:val="0"/>
        <w:spacing w:line="620" w:lineRule="exact"/>
        <w:ind w:firstLine="640" w:firstLineChars="20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中国致公党厦门市委员会的主要职责是：</w:t>
      </w:r>
    </w:p>
    <w:p>
      <w:pPr>
        <w:tabs>
          <w:tab w:val="left" w:pos="7513"/>
        </w:tabs>
        <w:adjustRightInd w:val="0"/>
        <w:snapToGrid w:val="0"/>
        <w:spacing w:line="360" w:lineRule="auto"/>
        <w:ind w:firstLine="640" w:firstLineChars="200"/>
        <w:rPr>
          <w:rFonts w:ascii="仿宋_GB2312" w:eastAsia="仿宋_GB2312" w:hAnsiTheme="minorEastAsia"/>
          <w:bCs/>
          <w:sz w:val="32"/>
          <w:szCs w:val="32"/>
        </w:rPr>
      </w:pPr>
      <w:r>
        <w:rPr>
          <w:rFonts w:hint="eastAsia" w:ascii="仿宋_GB2312" w:eastAsia="仿宋_GB2312" w:cs="仿宋_GB2312" w:hAnsiTheme="minorEastAsia"/>
          <w:sz w:val="32"/>
          <w:szCs w:val="32"/>
        </w:rPr>
        <w:t>（一）</w:t>
      </w:r>
      <w:r>
        <w:rPr>
          <w:rFonts w:hint="eastAsia" w:ascii="仿宋_GB2312" w:eastAsia="仿宋_GB2312" w:hAnsiTheme="minorEastAsia"/>
          <w:bCs/>
          <w:sz w:val="32"/>
          <w:szCs w:val="32"/>
        </w:rPr>
        <w:t>搭建平台，切实提升参政议政能力和水平；</w:t>
      </w:r>
    </w:p>
    <w:p>
      <w:pPr>
        <w:tabs>
          <w:tab w:val="left" w:pos="7513"/>
        </w:tabs>
        <w:adjustRightInd w:val="0"/>
        <w:snapToGrid w:val="0"/>
        <w:spacing w:line="360" w:lineRule="auto"/>
        <w:ind w:firstLine="640" w:firstLineChars="200"/>
        <w:rPr>
          <w:rFonts w:ascii="仿宋_GB2312" w:eastAsia="仿宋_GB2312" w:hAnsiTheme="minorEastAsia"/>
          <w:sz w:val="32"/>
          <w:szCs w:val="32"/>
        </w:rPr>
      </w:pPr>
      <w:r>
        <w:rPr>
          <w:rFonts w:hint="eastAsia" w:ascii="仿宋_GB2312" w:eastAsia="仿宋_GB2312" w:cs="仿宋_GB2312" w:hAnsiTheme="minorEastAsia"/>
          <w:sz w:val="32"/>
          <w:szCs w:val="32"/>
        </w:rPr>
        <w:t>（二）</w:t>
      </w:r>
      <w:r>
        <w:rPr>
          <w:rFonts w:hint="eastAsia" w:ascii="仿宋_GB2312" w:eastAsia="仿宋_GB2312" w:hAnsiTheme="minorEastAsia"/>
          <w:bCs/>
          <w:sz w:val="32"/>
          <w:szCs w:val="32"/>
        </w:rPr>
        <w:t>增强活力 ，全面推进高素质参政党建设；</w:t>
      </w:r>
    </w:p>
    <w:p>
      <w:pPr>
        <w:spacing w:line="560" w:lineRule="exact"/>
        <w:ind w:firstLine="640" w:firstLineChars="200"/>
        <w:rPr>
          <w:rFonts w:ascii="仿宋_GB2312" w:eastAsia="仿宋_GB2312" w:hAnsiTheme="minorEastAsia"/>
          <w:bCs/>
          <w:sz w:val="32"/>
          <w:szCs w:val="32"/>
        </w:rPr>
      </w:pPr>
      <w:r>
        <w:rPr>
          <w:rFonts w:hint="eastAsia" w:ascii="仿宋_GB2312" w:eastAsia="仿宋_GB2312" w:cs="仿宋_GB2312" w:hAnsiTheme="minorEastAsia"/>
          <w:sz w:val="32"/>
          <w:szCs w:val="32"/>
        </w:rPr>
        <w:t>（三）</w:t>
      </w:r>
      <w:r>
        <w:rPr>
          <w:rFonts w:hint="eastAsia" w:ascii="仿宋_GB2312" w:eastAsia="仿宋_GB2312" w:hAnsiTheme="minorEastAsia"/>
          <w:bCs/>
          <w:sz w:val="32"/>
          <w:szCs w:val="32"/>
        </w:rPr>
        <w:t>彰显“侨海报国”气魄，开创“侨”“海”工作新领域；</w:t>
      </w:r>
    </w:p>
    <w:p>
      <w:pPr>
        <w:pStyle w:val="11"/>
        <w:rPr>
          <w:rFonts w:hAnsiTheme="minorEastAsia"/>
          <w:szCs w:val="32"/>
        </w:rPr>
      </w:pPr>
      <w:r>
        <w:rPr>
          <w:rFonts w:hint="eastAsia" w:hAnsiTheme="minorEastAsia"/>
          <w:szCs w:val="32"/>
        </w:rPr>
        <w:t>（四）挖掘“同心”思想内涵，持续开展实践“同心”思想活动，不断提高社会服务工作水平。</w:t>
      </w:r>
    </w:p>
    <w:p>
      <w:pPr>
        <w:spacing w:line="560" w:lineRule="exact"/>
        <w:ind w:firstLine="640" w:firstLineChars="200"/>
        <w:rPr>
          <w:rFonts w:ascii="仿宋_GB2312" w:eastAsia="仿宋_GB2312" w:hAnsiTheme="minorEastAsia"/>
          <w:bCs/>
          <w:sz w:val="32"/>
          <w:szCs w:val="32"/>
        </w:rPr>
      </w:pPr>
      <w:r>
        <w:rPr>
          <w:rFonts w:hint="eastAsia" w:ascii="仿宋_GB2312" w:eastAsia="仿宋_GB2312" w:hAnsiTheme="minorEastAsia"/>
          <w:bCs/>
          <w:sz w:val="32"/>
          <w:szCs w:val="32"/>
        </w:rPr>
        <w:t xml:space="preserve">（五）推进“学习型、服务型、和谐型”机关建设 </w:t>
      </w:r>
    </w:p>
    <w:p>
      <w:pPr>
        <w:adjustRightInd w:val="0"/>
        <w:snapToGrid w:val="0"/>
        <w:spacing w:line="620" w:lineRule="exact"/>
        <w:ind w:firstLine="640" w:firstLineChars="200"/>
        <w:rPr>
          <w:rFonts w:ascii="仿宋" w:hAnsi="仿宋" w:eastAsia="仿宋"/>
          <w:b/>
          <w:bCs/>
          <w:sz w:val="32"/>
          <w:szCs w:val="32"/>
        </w:rPr>
      </w:pPr>
      <w:r>
        <w:rPr>
          <w:rFonts w:hint="eastAsia" w:ascii="黑体" w:eastAsia="黑体"/>
          <w:sz w:val="32"/>
          <w:szCs w:val="32"/>
        </w:rPr>
        <w:t>二、部门预算单位基本情况</w:t>
      </w:r>
    </w:p>
    <w:p>
      <w:pPr>
        <w:shd w:val="clear" w:color="auto" w:fill="FFFFFF"/>
        <w:adjustRightInd w:val="0"/>
        <w:snapToGrid w:val="0"/>
        <w:spacing w:line="620" w:lineRule="exact"/>
        <w:ind w:firstLine="640" w:firstLineChars="20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中国致公党厦门市委员会包括三个机关行政处室，即办公室、组织处、宣传调研处。没有下属单位，其中：列入2017年部门决算编制范围的单位详细情况见下表:</w:t>
      </w:r>
    </w:p>
    <w:tbl>
      <w:tblPr>
        <w:tblStyle w:val="14"/>
        <w:tblW w:w="0" w:type="auto"/>
        <w:jc w:val="center"/>
        <w:tblLayout w:type="fixed"/>
        <w:tblCellMar>
          <w:top w:w="0" w:type="dxa"/>
          <w:left w:w="108" w:type="dxa"/>
          <w:bottom w:w="0" w:type="dxa"/>
          <w:right w:w="108" w:type="dxa"/>
        </w:tblCellMar>
      </w:tblPr>
      <w:tblGrid>
        <w:gridCol w:w="2011"/>
        <w:gridCol w:w="2249"/>
        <w:gridCol w:w="2131"/>
        <w:gridCol w:w="2131"/>
      </w:tblGrid>
      <w:tr>
        <w:tblPrEx>
          <w:tblCellMar>
            <w:top w:w="0" w:type="dxa"/>
            <w:left w:w="108" w:type="dxa"/>
            <w:bottom w:w="0" w:type="dxa"/>
            <w:right w:w="108" w:type="dxa"/>
          </w:tblCellMar>
        </w:tblPrEx>
        <w:trPr>
          <w:trHeight w:val="664" w:hRule="atLeast"/>
          <w:jc w:val="center"/>
        </w:trPr>
        <w:tc>
          <w:tcPr>
            <w:tcW w:w="2011" w:type="dxa"/>
            <w:tcBorders>
              <w:top w:val="single" w:color="auto" w:sz="4" w:space="0"/>
              <w:left w:val="single" w:color="auto" w:sz="4" w:space="0"/>
              <w:bottom w:val="single" w:color="auto" w:sz="4" w:space="0"/>
              <w:right w:val="single" w:color="auto" w:sz="4" w:space="0"/>
            </w:tcBorders>
            <w:vAlign w:val="center"/>
          </w:tcPr>
          <w:p>
            <w:pPr>
              <w:shd w:val="clear" w:color="auto" w:fill="FFFFFF"/>
              <w:adjustRightInd w:val="0"/>
              <w:snapToGrid w:val="0"/>
              <w:spacing w:line="620" w:lineRule="exact"/>
              <w:jc w:val="center"/>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单位名称</w:t>
            </w:r>
          </w:p>
        </w:tc>
        <w:tc>
          <w:tcPr>
            <w:tcW w:w="2249" w:type="dxa"/>
            <w:tcBorders>
              <w:top w:val="single" w:color="auto" w:sz="4" w:space="0"/>
              <w:left w:val="nil"/>
              <w:bottom w:val="single" w:color="auto" w:sz="4" w:space="0"/>
              <w:right w:val="single" w:color="auto" w:sz="4" w:space="0"/>
            </w:tcBorders>
            <w:vAlign w:val="center"/>
          </w:tcPr>
          <w:p>
            <w:pPr>
              <w:shd w:val="clear" w:color="auto" w:fill="FFFFFF"/>
              <w:adjustRightInd w:val="0"/>
              <w:snapToGrid w:val="0"/>
              <w:spacing w:line="620" w:lineRule="exact"/>
              <w:jc w:val="center"/>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经费性质</w:t>
            </w:r>
          </w:p>
        </w:tc>
        <w:tc>
          <w:tcPr>
            <w:tcW w:w="2131" w:type="dxa"/>
            <w:tcBorders>
              <w:top w:val="single" w:color="auto" w:sz="4" w:space="0"/>
              <w:left w:val="nil"/>
              <w:bottom w:val="single" w:color="auto" w:sz="4" w:space="0"/>
              <w:right w:val="single" w:color="auto" w:sz="4" w:space="0"/>
            </w:tcBorders>
            <w:vAlign w:val="center"/>
          </w:tcPr>
          <w:p>
            <w:pPr>
              <w:shd w:val="clear" w:color="auto" w:fill="FFFFFF"/>
              <w:adjustRightInd w:val="0"/>
              <w:snapToGrid w:val="0"/>
              <w:spacing w:line="620" w:lineRule="exact"/>
              <w:jc w:val="center"/>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人员编制数</w:t>
            </w:r>
          </w:p>
        </w:tc>
        <w:tc>
          <w:tcPr>
            <w:tcW w:w="2131" w:type="dxa"/>
            <w:tcBorders>
              <w:top w:val="single" w:color="auto" w:sz="4" w:space="0"/>
              <w:left w:val="nil"/>
              <w:bottom w:val="single" w:color="auto" w:sz="4" w:space="0"/>
              <w:right w:val="single" w:color="auto" w:sz="4" w:space="0"/>
            </w:tcBorders>
            <w:vAlign w:val="center"/>
          </w:tcPr>
          <w:p>
            <w:pPr>
              <w:shd w:val="clear" w:color="auto" w:fill="FFFFFF"/>
              <w:adjustRightInd w:val="0"/>
              <w:snapToGrid w:val="0"/>
              <w:spacing w:line="620" w:lineRule="exact"/>
              <w:jc w:val="center"/>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在职人数</w:t>
            </w:r>
          </w:p>
        </w:tc>
      </w:tr>
      <w:tr>
        <w:trPr>
          <w:jc w:val="center"/>
        </w:trPr>
        <w:tc>
          <w:tcPr>
            <w:tcW w:w="2011" w:type="dxa"/>
            <w:tcBorders>
              <w:top w:val="single" w:color="auto" w:sz="4" w:space="0"/>
              <w:left w:val="single" w:color="auto" w:sz="4" w:space="0"/>
              <w:bottom w:val="single" w:color="auto" w:sz="4" w:space="0"/>
              <w:right w:val="single" w:color="auto" w:sz="4" w:space="0"/>
            </w:tcBorders>
          </w:tcPr>
          <w:p>
            <w:pPr>
              <w:shd w:val="clear" w:color="auto" w:fill="FFFFFF"/>
              <w:adjustRightInd w:val="0"/>
              <w:snapToGrid w:val="0"/>
              <w:spacing w:line="620" w:lineRule="exact"/>
              <w:rPr>
                <w:rFonts w:ascii="仿宋_GB2312" w:hAnsi="仿宋" w:eastAsia="仿宋_GB2312"/>
                <w:sz w:val="28"/>
                <w:szCs w:val="28"/>
                <w:shd w:val="clear" w:color="auto" w:fill="FFFFFF"/>
              </w:rPr>
            </w:pPr>
            <w:r>
              <w:rPr>
                <w:rFonts w:hint="eastAsia" w:ascii="仿宋_GB2312" w:hAnsi="仿宋" w:eastAsia="仿宋_GB2312"/>
                <w:sz w:val="28"/>
                <w:szCs w:val="28"/>
                <w:shd w:val="clear" w:color="auto" w:fill="FFFFFF"/>
              </w:rPr>
              <w:t>中国致公党厦门市委员会</w:t>
            </w:r>
          </w:p>
        </w:tc>
        <w:tc>
          <w:tcPr>
            <w:tcW w:w="2249" w:type="dxa"/>
            <w:tcBorders>
              <w:top w:val="single" w:color="auto" w:sz="4" w:space="0"/>
              <w:left w:val="nil"/>
              <w:bottom w:val="single" w:color="auto" w:sz="4" w:space="0"/>
              <w:right w:val="single" w:color="auto" w:sz="4" w:space="0"/>
            </w:tcBorders>
          </w:tcPr>
          <w:p>
            <w:pPr>
              <w:shd w:val="clear" w:color="auto" w:fill="FFFFFF"/>
              <w:adjustRightInd w:val="0"/>
              <w:snapToGrid w:val="0"/>
              <w:spacing w:line="620" w:lineRule="exact"/>
              <w:rPr>
                <w:rFonts w:ascii="仿宋_GB2312" w:hAnsi="仿宋" w:eastAsia="仿宋_GB2312"/>
                <w:sz w:val="28"/>
                <w:szCs w:val="28"/>
                <w:shd w:val="clear" w:color="auto" w:fill="FFFFFF"/>
              </w:rPr>
            </w:pPr>
            <w:r>
              <w:rPr>
                <w:rFonts w:hint="eastAsia" w:ascii="仿宋_GB2312" w:eastAsia="仿宋_GB2312" w:cs="宋体" w:hAnsiTheme="minorEastAsia"/>
                <w:bCs/>
                <w:kern w:val="0"/>
                <w:sz w:val="28"/>
                <w:szCs w:val="28"/>
              </w:rPr>
              <w:t>财政全额拨款</w:t>
            </w:r>
          </w:p>
        </w:tc>
        <w:tc>
          <w:tcPr>
            <w:tcW w:w="2131" w:type="dxa"/>
            <w:tcBorders>
              <w:top w:val="single" w:color="auto" w:sz="4" w:space="0"/>
              <w:left w:val="nil"/>
              <w:bottom w:val="single" w:color="auto" w:sz="4" w:space="0"/>
              <w:right w:val="single" w:color="auto" w:sz="4" w:space="0"/>
            </w:tcBorders>
          </w:tcPr>
          <w:p>
            <w:pPr>
              <w:shd w:val="clear" w:color="auto" w:fill="FFFFFF"/>
              <w:adjustRightInd w:val="0"/>
              <w:snapToGrid w:val="0"/>
              <w:spacing w:line="620" w:lineRule="exact"/>
              <w:rPr>
                <w:rFonts w:ascii="仿宋_GB2312" w:hAnsi="仿宋" w:eastAsia="仿宋_GB2312"/>
                <w:sz w:val="24"/>
                <w:szCs w:val="24"/>
                <w:shd w:val="clear" w:color="auto" w:fill="FFFFFF"/>
              </w:rPr>
            </w:pPr>
            <w:r>
              <w:rPr>
                <w:rFonts w:hint="eastAsia" w:ascii="仿宋_GB2312" w:eastAsia="仿宋_GB2312" w:cs="宋体" w:hAnsiTheme="minorEastAsia"/>
                <w:bCs/>
                <w:kern w:val="0"/>
                <w:sz w:val="24"/>
                <w:szCs w:val="24"/>
              </w:rPr>
              <w:t>13（正式编制11人;非在编2人）</w:t>
            </w:r>
          </w:p>
        </w:tc>
        <w:tc>
          <w:tcPr>
            <w:tcW w:w="2131" w:type="dxa"/>
            <w:tcBorders>
              <w:top w:val="single" w:color="auto" w:sz="4" w:space="0"/>
              <w:left w:val="nil"/>
              <w:bottom w:val="single" w:color="auto" w:sz="4" w:space="0"/>
              <w:right w:val="single" w:color="auto" w:sz="4" w:space="0"/>
            </w:tcBorders>
          </w:tcPr>
          <w:p>
            <w:pPr>
              <w:shd w:val="clear" w:color="auto" w:fill="FFFFFF"/>
              <w:adjustRightInd w:val="0"/>
              <w:snapToGrid w:val="0"/>
              <w:spacing w:line="620" w:lineRule="exact"/>
              <w:rPr>
                <w:rFonts w:ascii="仿宋_GB2312" w:hAnsi="仿宋" w:eastAsia="仿宋_GB2312"/>
                <w:sz w:val="24"/>
                <w:szCs w:val="24"/>
                <w:shd w:val="clear" w:color="auto" w:fill="FFFFFF"/>
              </w:rPr>
            </w:pPr>
            <w:r>
              <w:rPr>
                <w:rFonts w:hint="eastAsia" w:eastAsia="仿宋_GB2312" w:cs="宋体" w:asciiTheme="minorEastAsia" w:hAnsiTheme="minorEastAsia"/>
                <w:bCs/>
                <w:kern w:val="0"/>
                <w:sz w:val="28"/>
                <w:szCs w:val="28"/>
              </w:rPr>
              <w:t> </w:t>
            </w:r>
            <w:r>
              <w:rPr>
                <w:rFonts w:hint="eastAsia" w:ascii="仿宋_GB2312" w:eastAsia="仿宋_GB2312" w:cs="宋体" w:hAnsiTheme="minorEastAsia"/>
                <w:bCs/>
                <w:kern w:val="0"/>
                <w:sz w:val="24"/>
                <w:szCs w:val="24"/>
              </w:rPr>
              <w:t>12（在编12人;非在编2人）</w:t>
            </w:r>
          </w:p>
        </w:tc>
      </w:tr>
    </w:tbl>
    <w:p>
      <w:pPr>
        <w:pStyle w:val="43"/>
        <w:numPr>
          <w:ilvl w:val="0"/>
          <w:numId w:val="2"/>
        </w:numPr>
        <w:adjustRightInd w:val="0"/>
        <w:snapToGrid w:val="0"/>
        <w:spacing w:line="620" w:lineRule="exact"/>
        <w:ind w:firstLineChars="0"/>
        <w:rPr>
          <w:rFonts w:ascii="黑体" w:eastAsia="黑体"/>
          <w:sz w:val="32"/>
          <w:szCs w:val="32"/>
        </w:rPr>
      </w:pPr>
      <w:r>
        <w:rPr>
          <w:rFonts w:hint="eastAsia" w:ascii="黑体" w:eastAsia="黑体"/>
          <w:sz w:val="32"/>
          <w:szCs w:val="32"/>
        </w:rPr>
        <w:t>部门主要工作总结</w:t>
      </w:r>
    </w:p>
    <w:p>
      <w:pPr>
        <w:spacing w:line="500" w:lineRule="exact"/>
        <w:ind w:firstLine="420" w:firstLineChars="200"/>
        <w:rPr>
          <w:rFonts w:ascii="仿宋_GB2312" w:hAnsi="仿宋" w:eastAsia="仿宋_GB2312"/>
          <w:bCs/>
          <w:sz w:val="32"/>
          <w:szCs w:val="32"/>
        </w:rPr>
      </w:pPr>
      <w:r>
        <w:rPr>
          <w:rFonts w:hint="eastAsia" w:ascii="仿宋_GB2312" w:eastAsia="仿宋_GB2312"/>
        </w:rPr>
        <w:t xml:space="preserve"> </w:t>
      </w:r>
      <w:r>
        <w:rPr>
          <w:rFonts w:hint="eastAsia" w:ascii="仿宋_GB2312" w:hAnsi="仿宋" w:eastAsia="仿宋_GB2312"/>
          <w:bCs/>
          <w:sz w:val="32"/>
          <w:szCs w:val="32"/>
        </w:rPr>
        <w:t>2017年，</w:t>
      </w:r>
      <w:r>
        <w:rPr>
          <w:rFonts w:hint="eastAsia" w:ascii="仿宋_GB2312" w:hAnsi="仿宋" w:eastAsia="仿宋_GB2312"/>
          <w:sz w:val="32"/>
          <w:szCs w:val="32"/>
          <w:shd w:val="clear" w:color="auto" w:fill="FFFFFF"/>
        </w:rPr>
        <w:t>中国致公党厦门市委员会部门主要任务是：</w:t>
      </w:r>
      <w:r>
        <w:rPr>
          <w:rFonts w:hint="eastAsia" w:ascii="仿宋_GB2312" w:hAnsi="宋体" w:eastAsia="仿宋_GB2312"/>
          <w:sz w:val="32"/>
        </w:rPr>
        <w:t>履行参政党参政议政、民主监督的职责，发挥参政党的作用。</w:t>
      </w:r>
      <w:r>
        <w:rPr>
          <w:rFonts w:hint="eastAsia" w:ascii="仿宋_GB2312" w:hAnsi="仿宋" w:eastAsia="仿宋_GB2312"/>
          <w:bCs/>
          <w:sz w:val="32"/>
          <w:szCs w:val="32"/>
        </w:rPr>
        <w:t>致公党市委围绕中心，服务大局，开拓创新。围绕上述任务，重点完成了以下工作：</w:t>
      </w:r>
      <w:r>
        <w:rPr>
          <w:rFonts w:ascii="仿宋_GB2312" w:hAnsi="仿宋" w:eastAsia="仿宋_GB2312"/>
          <w:bCs/>
          <w:sz w:val="32"/>
          <w:szCs w:val="32"/>
        </w:rPr>
        <w:t xml:space="preserve"> </w:t>
      </w:r>
    </w:p>
    <w:p>
      <w:pPr>
        <w:spacing w:line="560" w:lineRule="exact"/>
        <w:ind w:firstLine="480" w:firstLineChars="150"/>
        <w:outlineLvl w:val="0"/>
        <w:rPr>
          <w:rFonts w:ascii="仿宋_GB2312" w:hAnsi="仿宋" w:eastAsia="仿宋_GB2312"/>
          <w:sz w:val="32"/>
          <w:szCs w:val="32"/>
        </w:rPr>
      </w:pPr>
      <w:r>
        <w:rPr>
          <w:rFonts w:hint="eastAsia" w:ascii="仿宋_GB2312" w:hAnsi="仿宋_GB2312"/>
          <w:sz w:val="32"/>
          <w:szCs w:val="32"/>
          <w:shd w:val="clear" w:color="auto" w:fill="FFFFFF"/>
        </w:rPr>
        <w:t>（一）</w:t>
      </w:r>
      <w:r>
        <w:rPr>
          <w:rFonts w:hint="eastAsia" w:ascii="仿宋_GB2312" w:hAnsi="仿宋" w:eastAsia="仿宋_GB2312"/>
          <w:sz w:val="32"/>
          <w:szCs w:val="32"/>
        </w:rPr>
        <w:t>持续开展学习实践活动，自身建设工作取得新成效。</w:t>
      </w:r>
      <w:r>
        <w:rPr>
          <w:rFonts w:hint="eastAsia" w:ascii="仿宋_GB2312" w:hAnsi="仿宋" w:eastAsia="仿宋_GB2312" w:cs="仿宋"/>
          <w:bCs/>
          <w:kern w:val="0"/>
          <w:sz w:val="32"/>
          <w:szCs w:val="32"/>
        </w:rPr>
        <w:t>深入开展学习实践活动</w:t>
      </w:r>
      <w:r>
        <w:rPr>
          <w:rFonts w:hint="eastAsia" w:ascii="仿宋_GB2312" w:hAnsi="仿宋" w:eastAsia="仿宋_GB2312" w:cs="仿宋"/>
          <w:b/>
          <w:bCs/>
          <w:kern w:val="0"/>
          <w:sz w:val="32"/>
          <w:szCs w:val="32"/>
        </w:rPr>
        <w:t>。</w:t>
      </w:r>
      <w:r>
        <w:rPr>
          <w:rFonts w:hint="eastAsia" w:ascii="仿宋_GB2312" w:hAnsi="仿宋" w:eastAsia="仿宋_GB2312"/>
          <w:bCs/>
          <w:sz w:val="32"/>
          <w:szCs w:val="32"/>
        </w:rPr>
        <w:t>把学习实践活动“侨海报国”主题与“不忘合作初心，继续携手前进”专题教育活动相结合，致公党市委获评致公党中央和福建省委学习实践活动先进集体，思明区基层委等3个基层组织及陈雪等3位党员分别获评致公党中央学习实践活动基层组织先进集体和先进个人。通过开展学习实践活动和专题教育活动，全市致公党员更加坚定了走中国特色社会主义道路的信念，不断增强道路自信、理论自信、制度自信和文化自信。</w:t>
      </w:r>
      <w:r>
        <w:rPr>
          <w:rFonts w:hint="eastAsia" w:ascii="仿宋_GB2312" w:hAnsi="仿宋" w:eastAsia="仿宋_GB2312"/>
          <w:sz w:val="32"/>
          <w:szCs w:val="32"/>
        </w:rPr>
        <w:t>积极稳妥做好新党员发展工作</w:t>
      </w:r>
      <w:r>
        <w:rPr>
          <w:rFonts w:hint="eastAsia" w:ascii="仿宋_GB2312" w:hAnsi="仿宋" w:eastAsia="仿宋_GB2312"/>
          <w:b/>
          <w:sz w:val="32"/>
          <w:szCs w:val="32"/>
        </w:rPr>
        <w:t>。</w:t>
      </w:r>
      <w:r>
        <w:rPr>
          <w:rFonts w:hint="eastAsia" w:ascii="仿宋_GB2312" w:hAnsi="仿宋" w:eastAsia="仿宋_GB2312"/>
          <w:bCs/>
          <w:sz w:val="32"/>
          <w:szCs w:val="32"/>
        </w:rPr>
        <w:t>截至12月底，全市共有基层组织49个，致公党员1118人，其中2017年新发展党员39人，平均年龄35.8岁，博士8人，硕士5人，中高级以上职称26人，进一步改善党员的年龄和知识结构。</w:t>
      </w:r>
      <w:r>
        <w:rPr>
          <w:rFonts w:hint="eastAsia" w:ascii="仿宋_GB2312" w:hAnsi="仿宋" w:eastAsia="仿宋_GB2312"/>
          <w:sz w:val="32"/>
          <w:szCs w:val="32"/>
        </w:rPr>
        <w:t>加强党内监督工作</w:t>
      </w:r>
      <w:r>
        <w:rPr>
          <w:rFonts w:hint="eastAsia" w:ascii="仿宋_GB2312" w:hAnsi="仿宋" w:eastAsia="仿宋_GB2312"/>
          <w:b/>
          <w:sz w:val="32"/>
          <w:szCs w:val="32"/>
        </w:rPr>
        <w:t>。</w:t>
      </w:r>
      <w:r>
        <w:rPr>
          <w:rFonts w:hint="eastAsia" w:ascii="仿宋_GB2312" w:hAnsi="仿宋" w:eastAsia="仿宋_GB2312"/>
          <w:bCs/>
          <w:sz w:val="32"/>
          <w:szCs w:val="32"/>
        </w:rPr>
        <w:t>在全省率先成立市级组织党内监督委员会。结合厦门实际，制定《致公党厦门市委关于贯彻〈中国致公党党内监督条例〉的实施意见》，推动党内监督工作不断深入开展。</w:t>
      </w:r>
      <w:r>
        <w:rPr>
          <w:rFonts w:hint="eastAsia" w:ascii="仿宋_GB2312" w:hAnsi="仿宋" w:eastAsia="仿宋_GB2312"/>
          <w:sz w:val="32"/>
          <w:szCs w:val="32"/>
        </w:rPr>
        <w:t>完成组织参加致公党全国和福建省代表大会各项工作</w:t>
      </w:r>
      <w:r>
        <w:rPr>
          <w:rFonts w:hint="eastAsia" w:ascii="仿宋_GB2312" w:hAnsi="仿宋" w:eastAsia="仿宋_GB2312"/>
          <w:b/>
          <w:sz w:val="32"/>
          <w:szCs w:val="32"/>
        </w:rPr>
        <w:t>。</w:t>
      </w:r>
      <w:r>
        <w:rPr>
          <w:rFonts w:hint="eastAsia" w:ascii="仿宋_GB2312" w:hAnsi="仿宋" w:eastAsia="仿宋_GB2312"/>
          <w:bCs/>
          <w:sz w:val="32"/>
          <w:szCs w:val="32"/>
        </w:rPr>
        <w:t>在致公党省第九次代表大会代表上，徐平东再次当选致公党省委副主委，郑幸红等2人当选常委，滕达等4人当选委员；在致公党第十五次全国代表大会上，徐平东再次当选致公党中央委员。</w:t>
      </w:r>
      <w:r>
        <w:rPr>
          <w:rFonts w:hint="eastAsia" w:ascii="仿宋_GB2312" w:hAnsi="仿宋" w:eastAsia="仿宋_GB2312"/>
          <w:sz w:val="32"/>
          <w:szCs w:val="32"/>
        </w:rPr>
        <w:t>创建省级文明单位</w:t>
      </w:r>
      <w:r>
        <w:rPr>
          <w:rFonts w:hint="eastAsia" w:ascii="仿宋_GB2312" w:hAnsi="仿宋" w:eastAsia="仿宋_GB2312"/>
          <w:b/>
          <w:sz w:val="32"/>
          <w:szCs w:val="32"/>
        </w:rPr>
        <w:t>。</w:t>
      </w:r>
      <w:r>
        <w:rPr>
          <w:rFonts w:hint="eastAsia" w:ascii="仿宋_GB2312" w:hAnsi="仿宋" w:eastAsia="仿宋_GB2312"/>
          <w:bCs/>
          <w:sz w:val="32"/>
          <w:szCs w:val="32"/>
        </w:rPr>
        <w:t>文明单位建设水平进一步提高，作为统战系统唯一的省级文明单位培育对象接受了文明委的考评。</w:t>
      </w:r>
    </w:p>
    <w:p>
      <w:pPr>
        <w:spacing w:line="560" w:lineRule="exact"/>
        <w:ind w:firstLine="480" w:firstLineChars="150"/>
        <w:outlineLvl w:val="0"/>
        <w:rPr>
          <w:rFonts w:ascii="仿宋_GB2312" w:hAnsi="仿宋" w:eastAsia="仿宋_GB2312"/>
          <w:sz w:val="32"/>
          <w:szCs w:val="32"/>
        </w:rPr>
      </w:pPr>
      <w:r>
        <w:rPr>
          <w:rFonts w:hint="eastAsia" w:ascii="仿宋_GB2312" w:hAnsi="仿宋_GB2312"/>
          <w:sz w:val="32"/>
          <w:szCs w:val="32"/>
          <w:shd w:val="clear" w:color="auto" w:fill="FFFFFF"/>
        </w:rPr>
        <w:t>（二）</w:t>
      </w:r>
      <w:r>
        <w:rPr>
          <w:rFonts w:hint="eastAsia" w:ascii="仿宋_GB2312" w:hAnsi="仿宋" w:eastAsia="仿宋_GB2312"/>
          <w:sz w:val="32"/>
          <w:szCs w:val="32"/>
        </w:rPr>
        <w:t>以专题协商为重点，参政议政工作取得新成绩。抓好课题调研工作</w:t>
      </w:r>
      <w:r>
        <w:rPr>
          <w:rFonts w:hint="eastAsia" w:ascii="仿宋_GB2312" w:hAnsi="仿宋" w:eastAsia="仿宋_GB2312"/>
          <w:b/>
          <w:sz w:val="32"/>
          <w:szCs w:val="32"/>
        </w:rPr>
        <w:t>。</w:t>
      </w:r>
      <w:r>
        <w:rPr>
          <w:rFonts w:hint="eastAsia" w:ascii="仿宋_GB2312" w:hAnsi="仿宋" w:eastAsia="仿宋_GB2312"/>
          <w:bCs/>
          <w:sz w:val="32"/>
          <w:szCs w:val="32"/>
        </w:rPr>
        <w:t>全年共完成65项课题调研，共有63项课题通过评审验收，其中51篇课题调研成果转化为政协提案、协商议政发言材料及理论研究成果。一项致公党中央调研课题成果获李克强总理批示，一项致公党省委重点课题调研成果在2017年福建统一战线建言献策成果汇报会上作大会发言并获三等奖。</w:t>
      </w:r>
      <w:r>
        <w:rPr>
          <w:rFonts w:hint="eastAsia" w:ascii="仿宋_GB2312" w:hAnsi="仿宋" w:eastAsia="仿宋_GB2312"/>
          <w:sz w:val="32"/>
          <w:szCs w:val="32"/>
        </w:rPr>
        <w:t>做好协商议政工作</w:t>
      </w:r>
      <w:r>
        <w:rPr>
          <w:rFonts w:hint="eastAsia" w:ascii="仿宋_GB2312" w:hAnsi="仿宋" w:eastAsia="仿宋_GB2312"/>
          <w:b/>
          <w:sz w:val="32"/>
          <w:szCs w:val="32"/>
        </w:rPr>
        <w:t>。</w:t>
      </w:r>
      <w:r>
        <w:rPr>
          <w:rFonts w:hint="eastAsia" w:ascii="仿宋_GB2312" w:hAnsi="仿宋" w:eastAsia="仿宋_GB2312"/>
          <w:bCs/>
          <w:sz w:val="32"/>
          <w:szCs w:val="32"/>
        </w:rPr>
        <w:t>全年共围绕“推进垃圾分类减量工作”、“加快跨岛发展”、“推动创新城市建设”、“提高社会治理水平”以及党风廉政、平安厦门等专题协商议题，及时转化14篇课题调研成果作为协商发言材料。</w:t>
      </w:r>
      <w:r>
        <w:rPr>
          <w:rFonts w:hint="eastAsia" w:ascii="仿宋_GB2312" w:hAnsi="仿宋" w:eastAsia="仿宋_GB2312"/>
          <w:sz w:val="32"/>
          <w:szCs w:val="32"/>
        </w:rPr>
        <w:t>政协提案质量高</w:t>
      </w:r>
      <w:r>
        <w:rPr>
          <w:rFonts w:hint="eastAsia" w:ascii="仿宋_GB2312" w:hAnsi="仿宋" w:eastAsia="仿宋_GB2312"/>
          <w:b/>
          <w:sz w:val="32"/>
          <w:szCs w:val="32"/>
        </w:rPr>
        <w:t>。</w:t>
      </w:r>
      <w:r>
        <w:rPr>
          <w:rFonts w:hint="eastAsia" w:ascii="仿宋_GB2312" w:hAnsi="仿宋" w:eastAsia="仿宋_GB2312"/>
          <w:bCs/>
          <w:sz w:val="32"/>
          <w:szCs w:val="32"/>
        </w:rPr>
        <w:t>在市政协十三届一次会议上，致公党市委共提交党派提案13件、界别提案12件， 2篇大会口头发言， 2篇大会书面发言。在政协大会期间，《大力推动节水洗车，践行绿色发展理念》被评为市政协十二届五次会议优秀提案。</w:t>
      </w:r>
      <w:r>
        <w:rPr>
          <w:rFonts w:hint="eastAsia" w:ascii="仿宋_GB2312" w:hAnsi="仿宋" w:eastAsia="仿宋_GB2312"/>
          <w:sz w:val="32"/>
          <w:szCs w:val="32"/>
        </w:rPr>
        <w:t>增强反映社情民意信息工作能力</w:t>
      </w:r>
      <w:r>
        <w:rPr>
          <w:rFonts w:hint="eastAsia" w:ascii="仿宋_GB2312" w:hAnsi="仿宋" w:eastAsia="仿宋_GB2312"/>
          <w:b/>
          <w:sz w:val="32"/>
          <w:szCs w:val="32"/>
        </w:rPr>
        <w:t>。</w:t>
      </w:r>
      <w:r>
        <w:rPr>
          <w:rFonts w:hint="eastAsia" w:ascii="仿宋_GB2312" w:hAnsi="仿宋" w:eastAsia="仿宋_GB2312"/>
          <w:bCs/>
          <w:sz w:val="32"/>
          <w:szCs w:val="32"/>
        </w:rPr>
        <w:t>共报送反映社情民意信息稿件231篇，被全国政协办公厅、中央统战部以及省市政府、政协、统战部门信息刊物采用46篇，2篇信息被最高人民法院院长周强批示7篇信息获省市领导批示。</w:t>
      </w:r>
    </w:p>
    <w:p>
      <w:pPr>
        <w:spacing w:line="560" w:lineRule="exact"/>
        <w:ind w:firstLine="320" w:firstLineChars="100"/>
        <w:outlineLvl w:val="0"/>
        <w:rPr>
          <w:rFonts w:ascii="仿宋_GB2312" w:hAnsi="仿宋" w:eastAsia="仿宋_GB2312"/>
          <w:sz w:val="32"/>
          <w:szCs w:val="32"/>
        </w:rPr>
      </w:pPr>
      <w:r>
        <w:rPr>
          <w:rFonts w:hint="eastAsia" w:ascii="仿宋_GB2312" w:hAnsi="仿宋_GB2312"/>
          <w:sz w:val="32"/>
          <w:szCs w:val="32"/>
          <w:shd w:val="clear" w:color="auto" w:fill="FFFFFF"/>
        </w:rPr>
        <w:t>（三）</w:t>
      </w:r>
      <w:r>
        <w:rPr>
          <w:rFonts w:hint="eastAsia" w:ascii="仿宋_GB2312" w:hAnsi="仿宋" w:eastAsia="仿宋_GB2312"/>
          <w:sz w:val="32"/>
          <w:szCs w:val="32"/>
        </w:rPr>
        <w:t>发挥平台作用，海外联络工作取得新进展。</w:t>
      </w:r>
      <w:r>
        <w:rPr>
          <w:rFonts w:hint="eastAsia" w:ascii="仿宋_GB2312" w:hAnsi="仿宋" w:eastAsia="仿宋_GB2312"/>
          <w:bCs/>
          <w:sz w:val="32"/>
          <w:szCs w:val="32"/>
        </w:rPr>
        <w:t>2017年，共有来自缅甸、泰国和印尼的53位华裔青少年参加夏(冬)令营活动。几十家国内平面、网络媒体及3家泰国华文报刊予以报道或转载；</w:t>
      </w:r>
      <w:r>
        <w:rPr>
          <w:rFonts w:hint="eastAsia" w:ascii="仿宋_GB2312" w:hAnsi="仿宋" w:eastAsia="仿宋_GB2312"/>
          <w:sz w:val="32"/>
          <w:szCs w:val="32"/>
        </w:rPr>
        <w:t>承办“海峡论坛·两岸社区服务恳谈会”和协办“海峡论坛·两岸公益论坛”，全国人大常委会委员</w:t>
      </w:r>
      <w:bookmarkStart w:id="0" w:name="_GoBack"/>
      <w:bookmarkEnd w:id="0"/>
      <w:r>
        <w:rPr>
          <w:rFonts w:hint="eastAsia" w:ascii="仿宋_GB2312" w:hAnsi="仿宋" w:eastAsia="仿宋_GB2312"/>
          <w:bCs/>
          <w:sz w:val="32"/>
          <w:szCs w:val="32"/>
        </w:rPr>
        <w:t>、致公党中央副主席闫小培，省政协副主席、致公党省委主委薛卫民等领导及两岸嘉宾共150余人参加；接多个海外侨团组织，积极推介厦门的投资环境，鼓励海外华侨华人、台湾同胞抓住“一带一路”建设带来战略机遇，主动发挥积极作用；致公党市委代表团赴南非、肯尼亚和埃塞俄比亚访问，召开6场推介会。</w:t>
      </w:r>
    </w:p>
    <w:p>
      <w:pPr>
        <w:spacing w:line="560" w:lineRule="exact"/>
        <w:ind w:firstLine="320" w:firstLineChars="100"/>
        <w:outlineLvl w:val="0"/>
        <w:rPr>
          <w:rFonts w:ascii="仿宋_GB2312" w:hAnsi="仿宋" w:eastAsia="仿宋_GB2312"/>
          <w:sz w:val="32"/>
          <w:szCs w:val="32"/>
        </w:rPr>
      </w:pPr>
      <w:r>
        <w:rPr>
          <w:rFonts w:hint="eastAsia" w:ascii="仿宋_GB2312" w:hAnsi="仿宋_GB2312"/>
          <w:sz w:val="32"/>
          <w:szCs w:val="32"/>
          <w:shd w:val="clear" w:color="auto" w:fill="FFFFFF"/>
        </w:rPr>
        <w:t>（四）</w:t>
      </w:r>
      <w:r>
        <w:rPr>
          <w:rFonts w:hint="eastAsia" w:ascii="仿宋_GB2312" w:hAnsi="仿宋" w:eastAsia="仿宋_GB2312"/>
          <w:sz w:val="32"/>
          <w:szCs w:val="32"/>
        </w:rPr>
        <w:t>加强品牌建设，社会服务工作取得新突破。社区致公学校品牌效应进一步凸显</w:t>
      </w:r>
      <w:r>
        <w:rPr>
          <w:rFonts w:hint="eastAsia" w:ascii="仿宋_GB2312" w:hAnsi="仿宋" w:eastAsia="仿宋_GB2312"/>
          <w:b/>
          <w:sz w:val="32"/>
          <w:szCs w:val="32"/>
        </w:rPr>
        <w:t>。</w:t>
      </w:r>
      <w:r>
        <w:rPr>
          <w:rFonts w:hint="eastAsia" w:ascii="仿宋_GB2312" w:hAnsi="仿宋" w:eastAsia="仿宋_GB2312"/>
          <w:bCs/>
          <w:sz w:val="32"/>
          <w:szCs w:val="32"/>
        </w:rPr>
        <w:t>全年共授课28节，听课人数达到1600多人次。社区致公学校可复制、可推广的办学模式得到各级领导的充分肯定，并赞扬授课老师教学水平高，授课内容能紧跟时代步伐，是民主党派参与共建和谐社区的一种有益尝试。</w:t>
      </w:r>
      <w:r>
        <w:rPr>
          <w:rFonts w:hint="eastAsia" w:ascii="仿宋_GB2312" w:hAnsi="仿宋" w:eastAsia="仿宋_GB2312"/>
          <w:sz w:val="32"/>
          <w:szCs w:val="32"/>
        </w:rPr>
        <w:t>双百人才项目对接洽谈会，成效显著</w:t>
      </w:r>
      <w:r>
        <w:rPr>
          <w:rFonts w:hint="eastAsia" w:ascii="仿宋_GB2312" w:hAnsi="仿宋" w:eastAsia="仿宋_GB2312"/>
          <w:b/>
          <w:sz w:val="32"/>
          <w:szCs w:val="32"/>
        </w:rPr>
        <w:t>。</w:t>
      </w:r>
      <w:r>
        <w:rPr>
          <w:rFonts w:hint="eastAsia" w:ascii="仿宋_GB2312" w:hAnsi="仿宋" w:eastAsia="仿宋_GB2312"/>
          <w:bCs/>
          <w:sz w:val="32"/>
          <w:szCs w:val="32"/>
        </w:rPr>
        <w:t>由致公党市委主办，市留学人员管理中心、致公党市委海外联络与留学人员委员会、社会服务委员会承办的双百人才项目对接洽谈会，吸引软件信息服务业42个优秀项目负责人及我市13家知名企业和SAC软件产业联盟参加。参与金砖国家领导人第九次会晤筹备和服务保障工作</w:t>
      </w:r>
      <w:r>
        <w:rPr>
          <w:rFonts w:hint="eastAsia" w:ascii="仿宋_GB2312" w:hAnsi="仿宋" w:eastAsia="仿宋_GB2312"/>
          <w:b/>
          <w:bCs/>
          <w:sz w:val="32"/>
          <w:szCs w:val="32"/>
        </w:rPr>
        <w:t>。</w:t>
      </w:r>
      <w:r>
        <w:rPr>
          <w:rFonts w:hint="eastAsia" w:ascii="仿宋_GB2312" w:hAnsi="仿宋" w:eastAsia="仿宋_GB2312"/>
          <w:bCs/>
          <w:sz w:val="32"/>
          <w:szCs w:val="32"/>
        </w:rPr>
        <w:t>致公党市委发动机关干部及党员参与厦门会晤工作，并发挥了积极作用。在中共省委、省政府，中共市委、市政府的表彰中，6人获得先进个人表彰，展现了致公党员的风采。</w:t>
      </w:r>
      <w:r>
        <w:rPr>
          <w:rFonts w:hint="eastAsia" w:ascii="仿宋_GB2312" w:hAnsi="仿宋" w:eastAsia="仿宋_GB2312"/>
          <w:sz w:val="32"/>
          <w:szCs w:val="32"/>
        </w:rPr>
        <w:t>开展精准扶贫</w:t>
      </w:r>
      <w:r>
        <w:rPr>
          <w:rFonts w:hint="eastAsia" w:ascii="仿宋_GB2312" w:hAnsi="仿宋" w:eastAsia="仿宋_GB2312"/>
          <w:b/>
          <w:sz w:val="32"/>
          <w:szCs w:val="32"/>
        </w:rPr>
        <w:t>。</w:t>
      </w:r>
      <w:r>
        <w:rPr>
          <w:rFonts w:hint="eastAsia" w:ascii="仿宋_GB2312" w:hAnsi="仿宋" w:eastAsia="仿宋_GB2312"/>
          <w:bCs/>
          <w:sz w:val="32"/>
          <w:szCs w:val="32"/>
        </w:rPr>
        <w:t>继续开展科技帮扶，为重庆酉阳1500亩有机水稻提供海藻寡糖生物肥，得到致公党中央闫小培副主席的高度赞扬；与南平政和铁山镇对接，募集10万元资金，资助该镇推广使用海藻寡糖生物肥。此外，致公党市委积极开展志愿服务活动，着力举办同心·致公讲坛和公益培训，不断深化联创共建活动。</w:t>
      </w:r>
    </w:p>
    <w:p>
      <w:pPr>
        <w:adjustRightInd w:val="0"/>
        <w:snapToGrid w:val="0"/>
        <w:spacing w:line="620" w:lineRule="exact"/>
        <w:ind w:firstLine="640" w:firstLineChars="200"/>
        <w:rPr>
          <w:rFonts w:ascii="黑体" w:hAnsi="仿宋" w:eastAsia="黑体" w:cs="仿宋_GB2312"/>
          <w:sz w:val="32"/>
          <w:szCs w:val="32"/>
        </w:rPr>
      </w:pPr>
      <w:r>
        <w:rPr>
          <w:rFonts w:hint="eastAsia" w:ascii="黑体" w:eastAsia="黑体"/>
          <w:sz w:val="32"/>
          <w:szCs w:val="32"/>
        </w:rPr>
        <w:t>四、</w:t>
      </w:r>
      <w:r>
        <w:rPr>
          <w:rFonts w:hint="eastAsia" w:ascii="黑体" w:hAnsi="仿宋" w:eastAsia="黑体" w:cs="仿宋_GB2312"/>
          <w:sz w:val="32"/>
          <w:szCs w:val="32"/>
        </w:rPr>
        <w:t>2017</w:t>
      </w:r>
      <w:r>
        <w:rPr>
          <w:rFonts w:hint="eastAsia" w:ascii="黑体" w:eastAsia="黑体"/>
          <w:sz w:val="32"/>
          <w:szCs w:val="32"/>
        </w:rPr>
        <w:t>年决算收支总体情况</w:t>
      </w:r>
    </w:p>
    <w:p>
      <w:pPr>
        <w:adjustRightInd w:val="0"/>
        <w:snapToGrid w:val="0"/>
        <w:spacing w:line="620" w:lineRule="exact"/>
        <w:ind w:firstLine="640" w:firstLineChars="200"/>
        <w:rPr>
          <w:rFonts w:ascii="仿宋" w:hAnsi="仿宋" w:eastAsia="仿宋" w:cs="仿宋_GB2312"/>
          <w:sz w:val="32"/>
          <w:szCs w:val="32"/>
        </w:rPr>
      </w:pPr>
      <w:r>
        <w:rPr>
          <w:rFonts w:hint="eastAsia" w:ascii="仿宋_GB2312" w:hAnsi="仿宋" w:eastAsia="仿宋_GB2312"/>
          <w:sz w:val="32"/>
          <w:szCs w:val="32"/>
        </w:rPr>
        <w:t>2017年</w:t>
      </w:r>
      <w:r>
        <w:rPr>
          <w:rFonts w:hint="eastAsia" w:ascii="仿宋_GB2312" w:hAnsi="仿宋" w:eastAsia="仿宋_GB2312"/>
          <w:sz w:val="32"/>
          <w:szCs w:val="32"/>
          <w:shd w:val="clear" w:color="auto" w:fill="FFFFFF"/>
        </w:rPr>
        <w:t>中国致公党厦门市委员会部门</w:t>
      </w:r>
      <w:r>
        <w:rPr>
          <w:rFonts w:hint="eastAsia" w:ascii="仿宋_GB2312" w:hAnsi="仿宋" w:eastAsia="仿宋_GB2312"/>
          <w:sz w:val="32"/>
          <w:szCs w:val="32"/>
        </w:rPr>
        <w:t>年初结转和结余0.34万元，本年收入555.79万元，本年支出542.78万元，事业基金弥补收支差额0万元，结余分配0万元，年末结转和结余13.36 万元。</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（一）2017年本年收入555.79万元，比2016年决算数增加6.92 万元，增长1％，具体情况如下：</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1. 财政拨款收入555.69万元，其中政府性基金0 万元。</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2. 事业收入0 万元。</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3. 经营收入 0 万元。</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4. 上级补助收入 0 万元。</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5. 附属单位上缴收入0 万元。</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6. 其他收入0.11万元。</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（二）2017年本年支出542.78万元，比2016年决算数减少3.73万元，下降1％，具体情况如下：</w:t>
      </w:r>
    </w:p>
    <w:p>
      <w:pPr>
        <w:adjustRightInd w:val="0"/>
        <w:snapToGrid w:val="0"/>
        <w:spacing w:line="620" w:lineRule="exact"/>
        <w:ind w:firstLine="640" w:firstLineChars="200"/>
        <w:rPr>
          <w:rFonts w:ascii="仿宋_GB2312" w:hAnsi="仿宋" w:eastAsia="仿宋_GB2312"/>
          <w:color w:val="00B050"/>
          <w:sz w:val="32"/>
          <w:szCs w:val="32"/>
        </w:rPr>
      </w:pPr>
      <w:r>
        <w:rPr>
          <w:rFonts w:hint="eastAsia" w:ascii="仿宋_GB2312" w:hAnsi="仿宋" w:eastAsia="仿宋_GB2312"/>
          <w:sz w:val="32"/>
          <w:szCs w:val="32"/>
        </w:rPr>
        <w:t>1. 基本支出396.08万元。其中，人员支出353.68万元，公用支出42.4万元。</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2. 项目支出146.70万元。</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3. 上缴上级支出0万元。</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4. 经营支出0万元。</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5. 对附属单位补助支出0万元。</w:t>
      </w:r>
    </w:p>
    <w:p>
      <w:pPr>
        <w:adjustRightInd w:val="0"/>
        <w:snapToGrid w:val="0"/>
        <w:spacing w:line="620" w:lineRule="exact"/>
        <w:ind w:firstLine="640" w:firstLineChars="200"/>
        <w:rPr>
          <w:rFonts w:ascii="黑体" w:hAnsi="仿宋" w:eastAsia="黑体" w:cs="仿宋_GB2312"/>
          <w:sz w:val="32"/>
          <w:szCs w:val="32"/>
        </w:rPr>
      </w:pPr>
      <w:r>
        <w:rPr>
          <w:rFonts w:hint="eastAsia" w:ascii="黑体" w:eastAsia="黑体"/>
          <w:sz w:val="32"/>
          <w:szCs w:val="32"/>
        </w:rPr>
        <w:t>五、公共财政拨款支出决算情况</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2017年公共财政拨款支出542.78万元，比2016年决算数增加3.38万元，增长1%，具体情况如下(按项级科目分类统计)：</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一）行政运行（项级科目）336.43万元，较2016年决算数增加19.33万元，增长6%。主要原因是（1）各项奖金计算口径有所变化，部分提高标准；（2）因工资变动而相应增加“住房公积金”、“工会经费”等按比例计算的部分。                     （二）一般行政管理事务（项级科目）97.08万元，较2016年决算数减少2.88万元，下降3 %。主要原因是因会议、培训等的支出标准控制而产生的相应费用减少。</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（三）参政议政（项级科目）49.62万元，较2016年决算数增加2.11万元，增长4%。主要原因是年度课题数量增加、宣传信息增加而相应增加费用。</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（四）归口管理的行政单位离退休（项级科目）23.69万元，较2016年决算数增加8.21万元，增长53%。主要原因是退休人员的社保金逐年递增；“过节费”标准提高；增加“综治奖”项目等，相应增加退休费用。</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（五）机关事业单位基本养老保险缴费支出（项级科目）25.81万元，较2016年决算数减少29.86万元，下降54%。主要原因是公务员退休制度改革新增科目。</w:t>
      </w:r>
    </w:p>
    <w:p>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（六）行政单位医疗（项级科目）7.19万元，较2016年决算数减少0.49万元，下降6%。主要原因是降低医保经费标准。</w:t>
      </w:r>
    </w:p>
    <w:p>
      <w:pPr>
        <w:pStyle w:val="44"/>
        <w:spacing w:line="620" w:lineRule="atLeast"/>
        <w:ind w:firstLine="640"/>
        <w:jc w:val="both"/>
        <w:rPr>
          <w:rFonts w:ascii="仿宋_GB2312" w:hAnsi="仿宋" w:eastAsia="仿宋_GB2312"/>
          <w:sz w:val="32"/>
          <w:szCs w:val="32"/>
        </w:rPr>
      </w:pPr>
      <w:r>
        <w:rPr>
          <w:rFonts w:hint="eastAsia" w:ascii="仿宋_GB2312" w:hAnsi="仿宋" w:eastAsia="仿宋_GB2312"/>
          <w:sz w:val="32"/>
          <w:szCs w:val="32"/>
        </w:rPr>
        <w:t>（七</w:t>
      </w:r>
      <w:r>
        <w:rPr>
          <w:rFonts w:ascii="仿宋_GB2312" w:hAnsi="仿宋" w:eastAsia="仿宋_GB2312"/>
          <w:sz w:val="32"/>
          <w:szCs w:val="32"/>
        </w:rPr>
        <w:t>）</w:t>
      </w:r>
      <w:r>
        <w:rPr>
          <w:rFonts w:hint="eastAsia" w:ascii="仿宋_GB2312" w:hAnsi="仿宋" w:eastAsia="仿宋_GB2312"/>
          <w:sz w:val="32"/>
          <w:szCs w:val="32"/>
        </w:rPr>
        <w:t>公务员医疗补助（项级科目）2.97万元，较2016年决算增加0.22万元，增长8%。主要原因是正常变动导致的小范围浮动。</w:t>
      </w:r>
    </w:p>
    <w:p>
      <w:pPr>
        <w:adjustRightInd w:val="0"/>
        <w:snapToGrid w:val="0"/>
        <w:spacing w:line="620" w:lineRule="exact"/>
        <w:ind w:firstLine="640" w:firstLineChars="200"/>
        <w:rPr>
          <w:rFonts w:ascii="黑体" w:hAnsi="仿宋" w:eastAsia="黑体" w:cs="仿宋_GB2312"/>
          <w:sz w:val="32"/>
          <w:szCs w:val="32"/>
        </w:rPr>
      </w:pPr>
      <w:r>
        <w:rPr>
          <w:rFonts w:hint="eastAsia" w:ascii="黑体" w:eastAsia="黑体"/>
          <w:sz w:val="32"/>
          <w:szCs w:val="32"/>
        </w:rPr>
        <w:t>六、政府性基金支出决算情况</w:t>
      </w:r>
    </w:p>
    <w:p>
      <w:pPr>
        <w:pStyle w:val="44"/>
        <w:shd w:val="clear" w:color="auto" w:fill="FFFFFF"/>
        <w:autoSpaceDN w:val="0"/>
        <w:spacing w:line="600" w:lineRule="atLeast"/>
        <w:ind w:firstLine="640"/>
        <w:rPr>
          <w:sz w:val="21"/>
          <w:szCs w:val="21"/>
          <w:shd w:val="clear" w:color="auto" w:fill="FFFFFF"/>
        </w:rPr>
      </w:pPr>
      <w:r>
        <w:rPr>
          <w:rFonts w:hint="eastAsia" w:ascii="仿宋_GB2312" w:hAnsi="仿宋" w:eastAsia="仿宋_GB2312"/>
          <w:sz w:val="32"/>
          <w:szCs w:val="32"/>
        </w:rPr>
        <w:t>2017年度政府性基金支出0万元，比2016年决算数增加（减少）0万元，增长（下降）0 %。(注：本单位无“政府性基金”收支项目)。因我单位无政府性基金支出因此不做具体情况统计及对比。</w:t>
      </w:r>
    </w:p>
    <w:p>
      <w:pPr>
        <w:adjustRightInd w:val="0"/>
        <w:snapToGrid w:val="0"/>
        <w:spacing w:line="620" w:lineRule="exact"/>
        <w:ind w:firstLine="640" w:firstLineChars="200"/>
        <w:rPr>
          <w:rFonts w:ascii="黑体" w:hAnsi="仿宋" w:eastAsia="黑体" w:cs="仿宋_GB2312"/>
          <w:sz w:val="32"/>
          <w:szCs w:val="32"/>
        </w:rPr>
      </w:pPr>
      <w:r>
        <w:rPr>
          <w:rFonts w:hint="eastAsia" w:ascii="黑体" w:eastAsia="黑体"/>
          <w:sz w:val="32"/>
          <w:szCs w:val="32"/>
        </w:rPr>
        <w:t>七、</w:t>
      </w:r>
      <w:r>
        <w:rPr>
          <w:rFonts w:hint="eastAsia" w:ascii="黑体" w:hAnsi="仿宋" w:eastAsia="黑体" w:cs="仿宋_GB2312"/>
          <w:sz w:val="32"/>
          <w:szCs w:val="32"/>
        </w:rPr>
        <w:t>“三公”经费公共财政拨款支出决算情况</w:t>
      </w:r>
    </w:p>
    <w:p>
      <w:pPr>
        <w:ind w:firstLine="480" w:firstLineChars="150"/>
        <w:rPr>
          <w:rFonts w:ascii="仿宋_GB2312" w:hAnsi="仿宋" w:eastAsia="仿宋_GB2312"/>
          <w:sz w:val="32"/>
          <w:szCs w:val="32"/>
        </w:rPr>
      </w:pPr>
      <w:r>
        <w:rPr>
          <w:rFonts w:hint="eastAsia" w:ascii="仿宋_GB2312" w:hAnsi="仿宋" w:eastAsia="仿宋_GB2312"/>
          <w:sz w:val="32"/>
          <w:szCs w:val="32"/>
        </w:rPr>
        <w:t>2017年“三公”经费公共财政拨款预算14.85万元，支出决算11.08万元，完成预算的75%，同比下降16.32%。主要原因是公务用车实际运行维护费少于核定的车辆定额费用。具体情况如下：</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（一）因公出国（境）费6.92万元，完成年初预算的100%，主要用于组团出访肯尼亚、南非、埃塞俄比亚。</w:t>
      </w:r>
      <w:r>
        <w:rPr>
          <w:rFonts w:hint="eastAsia" w:ascii="仿宋_GB2312" w:eastAsia="仿宋_GB2312"/>
          <w:sz w:val="32"/>
          <w:szCs w:val="32"/>
        </w:rPr>
        <w:t>推介厦门市光电（节能）产业，以及厦门金牌橱柜与上述三国华人客商合作开设专卖服务点等事宜进行商谈； 介绍“9</w:t>
      </w:r>
      <w:r>
        <w:rPr>
          <w:rFonts w:hint="eastAsia" w:ascii="仿宋_GB2312"/>
          <w:sz w:val="32"/>
          <w:szCs w:val="32"/>
        </w:rPr>
        <w:t>•</w:t>
      </w:r>
      <w:r>
        <w:rPr>
          <w:rFonts w:hint="eastAsia" w:ascii="仿宋_GB2312" w:eastAsia="仿宋_GB2312"/>
          <w:sz w:val="32"/>
          <w:szCs w:val="32"/>
        </w:rPr>
        <w:t>8”中国投资贸易投洽会相关筹备情况，厦门自贸试验区建设概况及优惠政策等，并邀请上述三国侨商参加投洽会；与当地华侨社团有关人士联谊互动，了解当地华人发展现状，开展海外联络工作。</w:t>
      </w:r>
      <w:r>
        <w:rPr>
          <w:rFonts w:hint="eastAsia" w:ascii="仿宋_GB2312" w:hAnsi="仿宋" w:eastAsia="仿宋_GB2312"/>
          <w:sz w:val="32"/>
          <w:szCs w:val="32"/>
        </w:rPr>
        <w:t>2017年本单位组织出国团组1个，参加其他单位出国团组0个；全年因公出国（境）累计1人次。与2016年相比, 因公出国（境）经费支出增长87%，主要原因是:</w:t>
      </w:r>
      <w:r>
        <w:rPr>
          <w:rFonts w:hint="eastAsia" w:ascii="仿宋_GB2312" w:eastAsia="仿宋_GB2312"/>
          <w:sz w:val="32"/>
        </w:rPr>
        <w:t xml:space="preserve"> 出访国家不同，境外费用不同；出国人员级别高，境外全程坐公务舱。</w:t>
      </w:r>
      <w:r>
        <w:rPr>
          <w:rFonts w:hint="eastAsia" w:ascii="仿宋_GB2312" w:hAnsi="仿宋" w:eastAsia="仿宋_GB2312"/>
          <w:sz w:val="32"/>
          <w:szCs w:val="32"/>
        </w:rPr>
        <w:t xml:space="preserve">    </w:t>
      </w:r>
    </w:p>
    <w:p>
      <w:pPr>
        <w:ind w:firstLine="480" w:firstLineChars="150"/>
        <w:rPr>
          <w:rFonts w:ascii="仿宋_GB2312" w:hAnsi="仿宋" w:eastAsia="仿宋_GB2312"/>
          <w:color w:val="C00000"/>
          <w:sz w:val="32"/>
          <w:szCs w:val="32"/>
        </w:rPr>
      </w:pPr>
      <w:r>
        <w:rPr>
          <w:rFonts w:hint="eastAsia" w:ascii="仿宋_GB2312" w:hAnsi="仿宋" w:eastAsia="仿宋_GB2312"/>
          <w:sz w:val="32"/>
          <w:szCs w:val="32"/>
        </w:rPr>
        <w:t>（二）公务用车购置及运行费2.55万元。完成年初预算的41%。其中：公务用车购置费0万元，2017年公务用车购置0辆。公务用车运行费2.55万元，主要用于公务用车燃油、维修、保险等方面支出，年末公务用车保有量2 辆。与2016年相比，公务用车购置费和运行费分别下降0%和51 %，主要原因是</w:t>
      </w:r>
      <w:r>
        <w:rPr>
          <w:rFonts w:hint="eastAsia" w:ascii="仿宋_GB2312" w:eastAsia="仿宋_GB2312"/>
          <w:sz w:val="32"/>
        </w:rPr>
        <w:t>公车改革减少了车辆使用，相应减少了运行维护费用</w:t>
      </w:r>
      <w:r>
        <w:rPr>
          <w:rFonts w:hint="eastAsia" w:ascii="仿宋_GB2312" w:hAnsi="仿宋" w:eastAsia="仿宋_GB2312"/>
          <w:sz w:val="32"/>
          <w:szCs w:val="32"/>
        </w:rPr>
        <w:t>。</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（三）公务接待费1.61万元，完成年初预算的93%。主要用于</w:t>
      </w:r>
      <w:r>
        <w:rPr>
          <w:rFonts w:hint="eastAsia" w:ascii="仿宋_GB2312" w:eastAsia="仿宋_GB2312" w:cs="仿宋_GB2312" w:hAnsiTheme="minorEastAsia"/>
          <w:kern w:val="0"/>
          <w:sz w:val="32"/>
          <w:szCs w:val="32"/>
        </w:rPr>
        <w:t>海外洪门（致公党）团组来访、全国各地致公党组织以及本党中央、省委的学习、调研</w:t>
      </w:r>
      <w:r>
        <w:rPr>
          <w:rFonts w:hint="eastAsia" w:ascii="仿宋_GB2312" w:hAnsi="仿宋" w:eastAsia="仿宋_GB2312"/>
          <w:sz w:val="32"/>
          <w:szCs w:val="32"/>
        </w:rPr>
        <w:t>等方面的接待活动，累计接待13批次、接待总人数127人。与2016年相比,</w:t>
      </w:r>
      <w:r>
        <w:rPr>
          <w:rFonts w:hint="eastAsia" w:ascii="仿宋_GB2312" w:hAnsi="仿宋" w:eastAsia="仿宋_GB2312"/>
          <w:color w:val="C00000"/>
          <w:sz w:val="32"/>
          <w:szCs w:val="32"/>
        </w:rPr>
        <w:t xml:space="preserve"> </w:t>
      </w:r>
      <w:r>
        <w:rPr>
          <w:rFonts w:hint="eastAsia" w:ascii="仿宋_GB2312" w:hAnsi="仿宋" w:eastAsia="仿宋_GB2312"/>
          <w:sz w:val="32"/>
          <w:szCs w:val="32"/>
        </w:rPr>
        <w:t>公务接待费支出下降6.66%，</w:t>
      </w:r>
      <w:r>
        <w:rPr>
          <w:rFonts w:hint="eastAsia" w:ascii="仿宋_GB2312" w:eastAsia="仿宋_GB2312"/>
          <w:sz w:val="32"/>
        </w:rPr>
        <w:t>主要是来访的境外团组及参访人数均有减少</w:t>
      </w:r>
      <w:r>
        <w:rPr>
          <w:rFonts w:hint="eastAsia" w:ascii="仿宋_GB2312" w:hAnsi="仿宋" w:eastAsia="仿宋_GB2312"/>
          <w:sz w:val="32"/>
          <w:szCs w:val="32"/>
        </w:rPr>
        <w:t>。</w:t>
      </w:r>
    </w:p>
    <w:p>
      <w:pPr>
        <w:adjustRightInd w:val="0"/>
        <w:snapToGrid w:val="0"/>
        <w:spacing w:line="620" w:lineRule="exact"/>
        <w:ind w:left="462" w:leftChars="220"/>
        <w:rPr>
          <w:rFonts w:ascii="黑体" w:hAnsi="宋体" w:eastAsia="黑体"/>
          <w:sz w:val="32"/>
          <w:szCs w:val="32"/>
          <w:shd w:val="clear" w:color="auto" w:fill="FFFFFF"/>
        </w:rPr>
      </w:pPr>
      <w:r>
        <w:rPr>
          <w:rFonts w:hint="eastAsia" w:ascii="黑体" w:eastAsia="黑体"/>
          <w:sz w:val="32"/>
          <w:szCs w:val="32"/>
          <w:shd w:val="clear" w:color="auto" w:fill="FFFFFF"/>
        </w:rPr>
        <w:t>八、其他重要事项的情况说明</w:t>
      </w:r>
    </w:p>
    <w:p>
      <w:pPr>
        <w:shd w:val="clear" w:color="auto" w:fill="FFFFFF"/>
        <w:adjustRightInd w:val="0"/>
        <w:snapToGrid w:val="0"/>
        <w:spacing w:line="620" w:lineRule="exact"/>
        <w:ind w:left="462" w:leftChars="22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（一）机关运行经费支出情况。</w:t>
      </w:r>
    </w:p>
    <w:p>
      <w:pPr>
        <w:shd w:val="clear" w:color="auto" w:fill="FFFFFF"/>
        <w:adjustRightInd w:val="0"/>
        <w:snapToGrid w:val="0"/>
        <w:spacing w:line="620" w:lineRule="exact"/>
        <w:ind w:firstLine="640" w:firstLineChars="20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 xml:space="preserve"> 2017年机关运行经费支出42.40万元，比2016年增加0.02万元，与上年基本持平。</w:t>
      </w:r>
    </w:p>
    <w:p>
      <w:pPr>
        <w:shd w:val="clear" w:color="auto" w:fill="FFFFFF"/>
        <w:adjustRightInd w:val="0"/>
        <w:snapToGrid w:val="0"/>
        <w:spacing w:line="620" w:lineRule="exact"/>
        <w:ind w:firstLine="640" w:firstLineChars="20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（二）政府采购支出情况。</w:t>
      </w:r>
    </w:p>
    <w:p>
      <w:pPr>
        <w:pStyle w:val="44"/>
        <w:shd w:val="clear" w:color="auto" w:fill="FFFFFF"/>
        <w:autoSpaceDN w:val="0"/>
        <w:spacing w:line="620" w:lineRule="atLeast"/>
        <w:ind w:firstLine="480" w:firstLineChars="150"/>
        <w:rPr>
          <w:sz w:val="21"/>
          <w:szCs w:val="21"/>
          <w:shd w:val="clear" w:color="auto" w:fill="FFFFFF"/>
        </w:rPr>
      </w:pPr>
      <w:r>
        <w:rPr>
          <w:rFonts w:hint="eastAsia" w:ascii="仿宋_GB2312" w:hAnsi="仿宋" w:eastAsia="仿宋_GB2312"/>
          <w:sz w:val="32"/>
          <w:szCs w:val="32"/>
          <w:shd w:val="clear" w:color="auto" w:fill="FFFFFF"/>
        </w:rPr>
        <w:t xml:space="preserve"> 2017年政府采购支出总额1.38万元，其中：政府采购货物支出1.38万元，政府采购工程支出0万元，政府采购服务支出0万元。授予中小企业合同金额0万元，占政府采购金额的0%。</w:t>
      </w:r>
    </w:p>
    <w:p>
      <w:pPr>
        <w:adjustRightInd w:val="0"/>
        <w:snapToGrid w:val="0"/>
        <w:spacing w:line="620" w:lineRule="exact"/>
        <w:rPr>
          <w:rFonts w:ascii="仿宋_GB2312" w:hAnsi="仿宋" w:eastAsia="仿宋_GB2312"/>
          <w:sz w:val="32"/>
          <w:szCs w:val="32"/>
        </w:rPr>
      </w:pPr>
      <w:r>
        <w:rPr>
          <w:rFonts w:hint="eastAsia" w:ascii="仿宋_GB2312" w:hAnsi="仿宋" w:eastAsia="仿宋_GB2312"/>
          <w:sz w:val="32"/>
          <w:szCs w:val="32"/>
        </w:rPr>
        <w:t xml:space="preserve">   （三）国有资产占用情况。</w:t>
      </w:r>
    </w:p>
    <w:p>
      <w:pPr>
        <w:pStyle w:val="44"/>
        <w:shd w:val="clear" w:color="auto" w:fill="FFFFFF"/>
        <w:autoSpaceDN w:val="0"/>
        <w:spacing w:line="620" w:lineRule="atLeast"/>
        <w:ind w:firstLine="640"/>
        <w:rPr>
          <w:rFonts w:ascii="仿宋_GB2312" w:hAnsi="仿宋" w:eastAsia="仿宋_GB2312"/>
          <w:sz w:val="32"/>
          <w:szCs w:val="32"/>
        </w:rPr>
      </w:pPr>
      <w:r>
        <w:rPr>
          <w:rFonts w:hint="eastAsia" w:ascii="仿宋_GB2312" w:hAnsi="仿宋" w:eastAsia="仿宋_GB2312"/>
          <w:sz w:val="32"/>
          <w:szCs w:val="32"/>
        </w:rPr>
        <w:t>截至2017年12月31日，共有车辆2辆，其中：部级领导干部用车0辆；一般公务用车2辆；一般执法执勤用车0辆；特种专业技术用车0辆；其他用车0辆。单位价值100万元以上专用设备0台（套）。</w:t>
      </w:r>
    </w:p>
    <w:p>
      <w:pPr>
        <w:pStyle w:val="44"/>
        <w:shd w:val="clear" w:color="auto" w:fill="FFFFFF"/>
        <w:autoSpaceDN w:val="0"/>
        <w:spacing w:line="600" w:lineRule="atLeast"/>
        <w:ind w:firstLine="640"/>
        <w:rPr>
          <w:rFonts w:ascii="仿宋_GB2312" w:hAnsi="仿宋" w:eastAsia="仿宋_GB2312"/>
          <w:sz w:val="32"/>
          <w:szCs w:val="32"/>
        </w:rPr>
      </w:pPr>
      <w:r>
        <w:rPr>
          <w:rFonts w:hint="eastAsia" w:ascii="仿宋_GB2312" w:hAnsi="仿宋" w:eastAsia="仿宋_GB2312"/>
          <w:sz w:val="32"/>
          <w:szCs w:val="32"/>
        </w:rPr>
        <w:t>（四）绩效管理工作开展情况。</w:t>
      </w:r>
    </w:p>
    <w:p>
      <w:pPr>
        <w:pStyle w:val="44"/>
        <w:shd w:val="clear" w:color="auto" w:fill="FFFFFF"/>
        <w:autoSpaceDN w:val="0"/>
        <w:spacing w:line="600" w:lineRule="atLeast"/>
        <w:ind w:firstLine="640"/>
        <w:rPr>
          <w:rFonts w:ascii="仿宋_GB2312" w:hAnsi="仿宋" w:eastAsia="仿宋_GB2312"/>
          <w:sz w:val="32"/>
          <w:szCs w:val="32"/>
        </w:rPr>
      </w:pPr>
      <w:r>
        <w:rPr>
          <w:rFonts w:hint="eastAsia" w:ascii="仿宋_GB2312" w:hAnsi="仿宋" w:eastAsia="仿宋_GB2312"/>
          <w:sz w:val="32"/>
          <w:szCs w:val="32"/>
        </w:rPr>
        <w:t>根据文件要求，2017年我无需开展绩效管理工作。</w:t>
      </w:r>
    </w:p>
    <w:p>
      <w:pPr>
        <w:pStyle w:val="44"/>
        <w:shd w:val="clear" w:color="auto" w:fill="FFFFFF"/>
        <w:autoSpaceDN w:val="0"/>
        <w:ind w:firstLine="640"/>
        <w:rPr>
          <w:rFonts w:ascii="黑体" w:hAnsi="Calibri" w:eastAsia="黑体"/>
          <w:kern w:val="2"/>
          <w:sz w:val="32"/>
          <w:szCs w:val="32"/>
          <w:shd w:val="clear" w:color="auto" w:fill="FFFFFF"/>
        </w:rPr>
      </w:pPr>
      <w:r>
        <w:rPr>
          <w:rFonts w:hint="eastAsia" w:ascii="黑体" w:hAnsi="Calibri" w:eastAsia="黑体"/>
          <w:kern w:val="2"/>
          <w:sz w:val="32"/>
          <w:szCs w:val="32"/>
          <w:shd w:val="clear" w:color="auto" w:fill="FFFFFF"/>
        </w:rPr>
        <w:t>九、名词解释</w:t>
      </w:r>
    </w:p>
    <w:p>
      <w:pPr>
        <w:pStyle w:val="44"/>
        <w:shd w:val="clear" w:color="auto" w:fill="FFFFFF"/>
        <w:autoSpaceDN w:val="0"/>
        <w:spacing w:line="620" w:lineRule="atLeast"/>
        <w:ind w:firstLine="640"/>
        <w:rPr>
          <w:rFonts w:ascii="仿宋_GB2312" w:hAnsi="仿宋" w:eastAsia="仿宋_GB2312"/>
          <w:sz w:val="32"/>
          <w:szCs w:val="32"/>
        </w:rPr>
      </w:pPr>
      <w:r>
        <w:rPr>
          <w:rFonts w:hint="eastAsia" w:ascii="仿宋_GB2312" w:hAnsi="仿宋" w:eastAsia="仿宋_GB2312"/>
          <w:sz w:val="32"/>
          <w:szCs w:val="32"/>
        </w:rPr>
        <w:t>（一）财政拨款收入：指由财政拨款形成的部门收入。按现行管理制度，部门预算中反映的财政拨款包括一般公共预算拨款和政府性基金预算拨款。</w:t>
      </w:r>
    </w:p>
    <w:p>
      <w:pPr>
        <w:pStyle w:val="44"/>
        <w:shd w:val="clear" w:color="auto" w:fill="FFFFFF"/>
        <w:autoSpaceDN w:val="0"/>
        <w:spacing w:line="620" w:lineRule="atLeast"/>
        <w:ind w:firstLine="640"/>
        <w:rPr>
          <w:rFonts w:ascii="仿宋_GB2312" w:hAnsi="仿宋" w:eastAsia="仿宋_GB2312"/>
          <w:sz w:val="32"/>
          <w:szCs w:val="32"/>
        </w:rPr>
      </w:pPr>
      <w:r>
        <w:rPr>
          <w:rFonts w:hint="eastAsia" w:ascii="仿宋_GB2312" w:hAnsi="仿宋" w:eastAsia="仿宋_GB2312"/>
          <w:sz w:val="32"/>
          <w:szCs w:val="32"/>
        </w:rPr>
        <w:t>（二）其他收入：指“财政拨款收入”、“事业收入”、“事业单位经营收入”等以外的收入。如从非同级财政部门、上级主管部门等取得的用于完成项目或专项任务的资金、库存现金溢余、利息收入等。</w:t>
      </w:r>
    </w:p>
    <w:p>
      <w:pPr>
        <w:pStyle w:val="44"/>
        <w:shd w:val="clear" w:color="auto" w:fill="FFFFFF"/>
        <w:autoSpaceDN w:val="0"/>
        <w:spacing w:line="620" w:lineRule="atLeast"/>
        <w:ind w:firstLine="640"/>
        <w:rPr>
          <w:rFonts w:ascii="仿宋_GB2312" w:hAnsi="仿宋" w:eastAsia="仿宋_GB2312"/>
          <w:sz w:val="32"/>
          <w:szCs w:val="32"/>
        </w:rPr>
      </w:pPr>
      <w:r>
        <w:rPr>
          <w:rFonts w:hint="eastAsia" w:ascii="仿宋_GB2312" w:hAnsi="仿宋" w:eastAsia="仿宋_GB2312"/>
          <w:sz w:val="32"/>
          <w:szCs w:val="32"/>
        </w:rPr>
        <w:t>（三）基本支出：指为保障机构正常运转、完成日常工作任务而发生的人员支出、对个人和家庭的补助支出和公用支出。</w:t>
      </w:r>
    </w:p>
    <w:p>
      <w:pPr>
        <w:pStyle w:val="44"/>
        <w:shd w:val="clear" w:color="auto" w:fill="FFFFFF"/>
        <w:autoSpaceDN w:val="0"/>
        <w:spacing w:line="620" w:lineRule="atLeast"/>
        <w:ind w:firstLine="640"/>
        <w:rPr>
          <w:rFonts w:ascii="仿宋_GB2312" w:hAnsi="仿宋" w:eastAsia="仿宋_GB2312"/>
          <w:sz w:val="32"/>
          <w:szCs w:val="32"/>
        </w:rPr>
      </w:pPr>
      <w:r>
        <w:rPr>
          <w:rFonts w:hint="eastAsia" w:ascii="仿宋_GB2312" w:hAnsi="仿宋" w:eastAsia="仿宋_GB2312"/>
          <w:sz w:val="32"/>
          <w:szCs w:val="32"/>
        </w:rPr>
        <w:t>（四）项目支出：指在基本支出之外为完成特定行政任务和事业发展目标所发生的支出，包括部门专项、发展经费和基建项目。</w:t>
      </w:r>
    </w:p>
    <w:p>
      <w:pPr>
        <w:pStyle w:val="44"/>
        <w:shd w:val="clear" w:color="auto" w:fill="FFFFFF"/>
        <w:autoSpaceDN w:val="0"/>
        <w:spacing w:line="620" w:lineRule="atLeast"/>
        <w:ind w:firstLine="640"/>
        <w:rPr>
          <w:rFonts w:ascii="仿宋_GB2312" w:hAnsi="仿宋" w:eastAsia="仿宋_GB2312"/>
          <w:sz w:val="32"/>
          <w:szCs w:val="32"/>
        </w:rPr>
      </w:pPr>
      <w:r>
        <w:rPr>
          <w:rFonts w:hint="eastAsia" w:ascii="仿宋_GB2312" w:hAnsi="仿宋" w:eastAsia="仿宋_GB2312"/>
          <w:sz w:val="32"/>
          <w:szCs w:val="32"/>
        </w:rPr>
        <w:t>（五） 机关运行经费：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adjustRightInd w:val="0"/>
        <w:snapToGrid w:val="0"/>
        <w:spacing w:line="620" w:lineRule="exact"/>
        <w:ind w:firstLine="640"/>
        <w:rPr>
          <w:rFonts w:ascii="仿宋_GB2312" w:hAnsi="仿宋" w:eastAsia="仿宋_GB2312"/>
          <w:kern w:val="0"/>
          <w:sz w:val="32"/>
          <w:szCs w:val="32"/>
        </w:rPr>
      </w:pPr>
    </w:p>
    <w:p>
      <w:pPr>
        <w:adjustRightInd w:val="0"/>
        <w:snapToGrid w:val="0"/>
        <w:spacing w:line="620" w:lineRule="exact"/>
        <w:ind w:firstLine="640"/>
        <w:rPr>
          <w:rFonts w:ascii="仿宋_GB2312" w:hAnsi="仿宋" w:eastAsia="仿宋_GB2312"/>
          <w:sz w:val="32"/>
          <w:szCs w:val="32"/>
        </w:rPr>
      </w:pPr>
      <w:r>
        <w:rPr>
          <w:rFonts w:hint="eastAsia" w:ascii="仿宋_GB2312" w:hAnsi="仿宋" w:eastAsia="仿宋_GB2312"/>
          <w:sz w:val="32"/>
          <w:szCs w:val="32"/>
        </w:rPr>
        <w:t xml:space="preserve"> </w:t>
      </w:r>
    </w:p>
    <w:p>
      <w:pPr>
        <w:adjustRightInd w:val="0"/>
        <w:snapToGrid w:val="0"/>
        <w:spacing w:line="620" w:lineRule="exact"/>
        <w:ind w:firstLine="640" w:firstLineChars="200"/>
        <w:rPr>
          <w:rFonts w:ascii="仿宋" w:hAnsi="仿宋" w:eastAsia="仿宋"/>
          <w:sz w:val="32"/>
          <w:szCs w:val="32"/>
        </w:rPr>
      </w:pPr>
      <w:r>
        <w:rPr>
          <w:rFonts w:hint="eastAsia" w:ascii="仿宋" w:hAnsi="仿宋" w:eastAsia="仿宋"/>
          <w:sz w:val="32"/>
          <w:szCs w:val="32"/>
        </w:rPr>
        <w:t>附件：</w:t>
      </w:r>
      <w:r>
        <w:rPr>
          <w:rFonts w:hint="eastAsia" w:ascii="仿宋" w:hAnsi="仿宋" w:eastAsia="仿宋" w:cs="仿宋_GB2312"/>
          <w:sz w:val="32"/>
          <w:szCs w:val="32"/>
        </w:rPr>
        <w:t xml:space="preserve"> 1.</w:t>
      </w:r>
      <w:r>
        <w:rPr>
          <w:rFonts w:hint="eastAsia" w:ascii="仿宋" w:hAnsi="仿宋" w:eastAsia="仿宋"/>
          <w:sz w:val="32"/>
          <w:szCs w:val="32"/>
        </w:rPr>
        <w:t>收支决算总表</w:t>
      </w:r>
    </w:p>
    <w:p>
      <w:pPr>
        <w:adjustRightInd w:val="0"/>
        <w:snapToGrid w:val="0"/>
        <w:spacing w:line="62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 xml:space="preserve">       2.</w:t>
      </w:r>
      <w:r>
        <w:rPr>
          <w:rFonts w:hint="eastAsia" w:ascii="仿宋" w:hAnsi="仿宋" w:eastAsia="仿宋"/>
          <w:sz w:val="32"/>
          <w:szCs w:val="32"/>
        </w:rPr>
        <w:t>收入决算表</w:t>
      </w:r>
    </w:p>
    <w:p>
      <w:pPr>
        <w:adjustRightInd w:val="0"/>
        <w:snapToGrid w:val="0"/>
        <w:spacing w:line="620" w:lineRule="exact"/>
        <w:ind w:firstLine="1760" w:firstLineChars="550"/>
        <w:rPr>
          <w:rFonts w:ascii="仿宋" w:hAnsi="仿宋" w:eastAsia="仿宋" w:cs="仿宋_GB2312"/>
          <w:sz w:val="32"/>
          <w:szCs w:val="32"/>
        </w:rPr>
      </w:pPr>
      <w:r>
        <w:rPr>
          <w:rFonts w:hint="eastAsia" w:ascii="仿宋" w:hAnsi="仿宋" w:eastAsia="仿宋" w:cs="仿宋_GB2312"/>
          <w:sz w:val="32"/>
          <w:szCs w:val="32"/>
        </w:rPr>
        <w:t>3.</w:t>
      </w:r>
      <w:r>
        <w:rPr>
          <w:rFonts w:hint="eastAsia" w:ascii="仿宋" w:hAnsi="仿宋" w:eastAsia="仿宋"/>
          <w:sz w:val="32"/>
          <w:szCs w:val="32"/>
        </w:rPr>
        <w:t>支出决算表</w:t>
      </w:r>
    </w:p>
    <w:p>
      <w:pPr>
        <w:adjustRightInd w:val="0"/>
        <w:snapToGrid w:val="0"/>
        <w:spacing w:line="620" w:lineRule="exact"/>
        <w:ind w:firstLine="1760" w:firstLineChars="550"/>
        <w:rPr>
          <w:rFonts w:ascii="仿宋" w:hAnsi="仿宋" w:eastAsia="仿宋" w:cs="仿宋_GB2312"/>
          <w:sz w:val="32"/>
          <w:szCs w:val="32"/>
        </w:rPr>
      </w:pPr>
      <w:r>
        <w:rPr>
          <w:rFonts w:hint="eastAsia" w:ascii="仿宋" w:hAnsi="仿宋" w:eastAsia="仿宋" w:cs="仿宋_GB2312"/>
          <w:sz w:val="32"/>
          <w:szCs w:val="32"/>
        </w:rPr>
        <w:t>4.</w:t>
      </w:r>
      <w:r>
        <w:t xml:space="preserve"> </w:t>
      </w:r>
      <w:r>
        <w:rPr>
          <w:rFonts w:hint="eastAsia" w:ascii="仿宋" w:hAnsi="仿宋" w:eastAsia="仿宋"/>
          <w:sz w:val="32"/>
          <w:szCs w:val="32"/>
        </w:rPr>
        <w:t>财政拨款收入支出决算总表</w:t>
      </w:r>
    </w:p>
    <w:p>
      <w:pPr>
        <w:adjustRightInd w:val="0"/>
        <w:snapToGrid w:val="0"/>
        <w:spacing w:line="620" w:lineRule="exact"/>
        <w:ind w:firstLine="1760" w:firstLineChars="550"/>
      </w:pPr>
      <w:r>
        <w:rPr>
          <w:rFonts w:hint="eastAsia" w:ascii="仿宋" w:hAnsi="仿宋" w:eastAsia="仿宋" w:cs="仿宋_GB2312"/>
          <w:sz w:val="32"/>
          <w:szCs w:val="32"/>
        </w:rPr>
        <w:t>5.</w:t>
      </w:r>
      <w:r>
        <w:rPr>
          <w:rFonts w:hint="eastAsia" w:ascii="仿宋" w:hAnsi="仿宋" w:eastAsia="仿宋"/>
          <w:sz w:val="32"/>
          <w:szCs w:val="32"/>
        </w:rPr>
        <w:t>公共财政拨款支出决算表</w:t>
      </w:r>
    </w:p>
    <w:p>
      <w:pPr>
        <w:adjustRightInd w:val="0"/>
        <w:snapToGrid w:val="0"/>
        <w:spacing w:line="620" w:lineRule="exact"/>
        <w:ind w:firstLine="1760" w:firstLineChars="550"/>
      </w:pPr>
      <w:r>
        <w:rPr>
          <w:rFonts w:hint="eastAsia" w:ascii="仿宋" w:hAnsi="仿宋" w:eastAsia="仿宋" w:cs="仿宋_GB2312"/>
          <w:sz w:val="32"/>
          <w:szCs w:val="32"/>
        </w:rPr>
        <w:t>6.</w:t>
      </w:r>
      <w:r>
        <w:rPr>
          <w:rFonts w:hint="eastAsia" w:ascii="仿宋" w:hAnsi="仿宋" w:eastAsia="仿宋"/>
          <w:sz w:val="32"/>
          <w:szCs w:val="32"/>
        </w:rPr>
        <w:t>一般公共预算财政拨款支出决算明细表</w:t>
      </w:r>
    </w:p>
    <w:p>
      <w:pPr>
        <w:adjustRightInd w:val="0"/>
        <w:snapToGrid w:val="0"/>
        <w:spacing w:line="620" w:lineRule="exact"/>
        <w:ind w:firstLine="1760" w:firstLineChars="550"/>
        <w:rPr>
          <w:rFonts w:ascii="仿宋" w:hAnsi="仿宋" w:eastAsia="仿宋"/>
          <w:sz w:val="32"/>
          <w:szCs w:val="32"/>
        </w:rPr>
      </w:pPr>
      <w:r>
        <w:rPr>
          <w:rFonts w:hint="eastAsia" w:ascii="仿宋" w:hAnsi="仿宋" w:eastAsia="仿宋" w:cs="仿宋_GB2312"/>
          <w:sz w:val="32"/>
          <w:szCs w:val="32"/>
        </w:rPr>
        <w:t>7.</w:t>
      </w:r>
      <w:r>
        <w:rPr>
          <w:rFonts w:hint="eastAsia" w:ascii="仿宋" w:hAnsi="仿宋" w:eastAsia="仿宋"/>
          <w:sz w:val="32"/>
          <w:szCs w:val="32"/>
        </w:rPr>
        <w:t>一般公共预算财政拨款基本支出决算表</w:t>
      </w:r>
    </w:p>
    <w:p>
      <w:pPr>
        <w:adjustRightInd w:val="0"/>
        <w:snapToGrid w:val="0"/>
        <w:spacing w:line="620" w:lineRule="exact"/>
        <w:ind w:firstLine="1760" w:firstLineChars="550"/>
        <w:rPr>
          <w:rFonts w:ascii="仿宋" w:hAnsi="仿宋" w:eastAsia="仿宋"/>
          <w:sz w:val="32"/>
          <w:szCs w:val="32"/>
        </w:rPr>
      </w:pPr>
      <w:r>
        <w:rPr>
          <w:rFonts w:hint="eastAsia" w:ascii="仿宋" w:hAnsi="仿宋" w:eastAsia="仿宋"/>
          <w:sz w:val="32"/>
          <w:szCs w:val="32"/>
        </w:rPr>
        <w:t>8.政府性基金预算财政拨款收入支出决算表</w:t>
      </w:r>
    </w:p>
    <w:p>
      <w:pPr>
        <w:adjustRightInd w:val="0"/>
        <w:snapToGrid w:val="0"/>
        <w:spacing w:line="620" w:lineRule="exact"/>
        <w:ind w:firstLine="1760" w:firstLineChars="550"/>
        <w:rPr>
          <w:rFonts w:ascii="仿宋" w:hAnsi="仿宋" w:eastAsia="仿宋"/>
          <w:sz w:val="32"/>
          <w:szCs w:val="32"/>
        </w:rPr>
      </w:pPr>
      <w:r>
        <w:rPr>
          <w:rFonts w:hint="eastAsia" w:ascii="仿宋" w:hAnsi="仿宋" w:eastAsia="仿宋" w:cs="仿宋_GB2312"/>
          <w:sz w:val="32"/>
          <w:szCs w:val="32"/>
        </w:rPr>
        <w:t>9.</w:t>
      </w:r>
      <w:r>
        <w:rPr>
          <w:rFonts w:hint="eastAsia" w:ascii="仿宋" w:hAnsi="仿宋" w:eastAsia="仿宋"/>
          <w:sz w:val="32"/>
          <w:szCs w:val="32"/>
        </w:rPr>
        <w:t>“三公”经费公共预算财政拨款支出决算表</w:t>
      </w:r>
    </w:p>
    <w:p>
      <w:pPr>
        <w:adjustRightInd w:val="0"/>
        <w:snapToGrid w:val="0"/>
        <w:spacing w:line="620" w:lineRule="exact"/>
        <w:ind w:firstLine="1760" w:firstLineChars="550"/>
        <w:rPr>
          <w:rFonts w:ascii="仿宋" w:hAnsi="仿宋" w:eastAsia="仿宋"/>
          <w:sz w:val="32"/>
          <w:szCs w:val="32"/>
        </w:rPr>
      </w:pPr>
      <w:r>
        <w:rPr>
          <w:rFonts w:hint="eastAsia" w:ascii="仿宋" w:hAnsi="仿宋" w:eastAsia="仿宋"/>
          <w:sz w:val="32"/>
          <w:szCs w:val="32"/>
        </w:rPr>
        <w:t>10.政府采购情况表</w:t>
      </w:r>
    </w:p>
    <w:p>
      <w:pPr>
        <w:adjustRightInd w:val="0"/>
        <w:snapToGrid w:val="0"/>
        <w:spacing w:line="620" w:lineRule="exact"/>
        <w:rPr>
          <w:rFonts w:ascii="黑体" w:hAnsi="仿宋" w:eastAsia="黑体"/>
          <w:sz w:val="32"/>
          <w:szCs w:val="32"/>
        </w:rPr>
      </w:pPr>
    </w:p>
    <w:p>
      <w:pPr>
        <w:adjustRightInd w:val="0"/>
        <w:snapToGrid w:val="0"/>
        <w:spacing w:line="620" w:lineRule="exact"/>
        <w:rPr>
          <w:rFonts w:ascii="黑体" w:hAnsi="仿宋" w:eastAsia="黑体"/>
          <w:sz w:val="32"/>
          <w:szCs w:val="32"/>
        </w:rPr>
      </w:pPr>
    </w:p>
    <w:p>
      <w:pPr>
        <w:adjustRightInd w:val="0"/>
        <w:snapToGrid w:val="0"/>
        <w:spacing w:line="620" w:lineRule="exact"/>
        <w:rPr>
          <w:rFonts w:ascii="黑体" w:hAnsi="仿宋" w:eastAsia="黑体"/>
          <w:sz w:val="32"/>
          <w:szCs w:val="32"/>
        </w:rPr>
      </w:pPr>
    </w:p>
    <w:p>
      <w:pPr>
        <w:adjustRightInd w:val="0"/>
        <w:snapToGrid w:val="0"/>
        <w:spacing w:line="620" w:lineRule="exact"/>
        <w:rPr>
          <w:rFonts w:ascii="黑体" w:hAnsi="仿宋" w:eastAsia="黑体"/>
          <w:sz w:val="32"/>
          <w:szCs w:val="32"/>
        </w:rPr>
      </w:pPr>
    </w:p>
    <w:p>
      <w:pPr>
        <w:adjustRightInd w:val="0"/>
        <w:snapToGrid w:val="0"/>
        <w:spacing w:line="620" w:lineRule="exact"/>
        <w:ind w:firstLine="320" w:firstLineChars="100"/>
        <w:rPr>
          <w:rFonts w:ascii="仿宋_GB2312" w:hAnsi="仿宋" w:eastAsia="仿宋_GB2312" w:cs="仿宋_GB2312"/>
          <w:sz w:val="32"/>
          <w:szCs w:val="32"/>
        </w:rPr>
      </w:pPr>
    </w:p>
    <w:sectPr>
      <w:footerReference r:id="rId3" w:type="default"/>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Cambria Math"/>
    <w:panose1 w:val="02040503050406030204"/>
    <w:charset w:val="00"/>
    <w:family w:val="roman"/>
    <w:pitch w:val="default"/>
    <w:sig w:usb0="00000000" w:usb1="00000000" w:usb2="00000000" w:usb3="00000000" w:csb0="0000009F" w:csb1="00000000"/>
  </w:font>
  <w:font w:name="Courier New">
    <w:altName w:val="DejaVu Sans"/>
    <w:panose1 w:val="02070309020205020404"/>
    <w:charset w:val="00"/>
    <w:family w:val="modern"/>
    <w:pitch w:val="default"/>
    <w:sig w:usb0="00000000" w:usb1="00000000" w:usb2="00000008"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91735"/>
      <w:docPartObj>
        <w:docPartGallery w:val="AutoText"/>
      </w:docPartObj>
    </w:sdtPr>
    <w:sdtContent>
      <w:p>
        <w:pPr>
          <w:pStyle w:val="9"/>
          <w:jc w:val="center"/>
        </w:pPr>
        <w:r>
          <w:fldChar w:fldCharType="begin"/>
        </w:r>
        <w:r>
          <w:instrText xml:space="preserve"> PAGE   \* MERGEFORMAT </w:instrText>
        </w:r>
        <w:r>
          <w:fldChar w:fldCharType="separate"/>
        </w:r>
        <w:r>
          <w:rPr>
            <w:lang w:val="zh-CN"/>
          </w:rPr>
          <w:t>9</w:t>
        </w:r>
        <w:r>
          <w:rPr>
            <w:lang w:val="zh-CN"/>
          </w:rP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DF01D5"/>
    <w:multiLevelType w:val="multilevel"/>
    <w:tmpl w:val="6FDF01D5"/>
    <w:lvl w:ilvl="0" w:tentative="0">
      <w:start w:val="3"/>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729C0E7A"/>
    <w:multiLevelType w:val="multilevel"/>
    <w:tmpl w:val="729C0E7A"/>
    <w:lvl w:ilvl="0" w:tentative="0">
      <w:start w:val="1"/>
      <w:numFmt w:val="japaneseCounting"/>
      <w:lvlText w:val="%1、"/>
      <w:lvlJc w:val="left"/>
      <w:pPr>
        <w:tabs>
          <w:tab w:val="left" w:pos="1363"/>
        </w:tabs>
        <w:ind w:left="1363" w:hanging="720"/>
      </w:pPr>
      <w:rPr>
        <w:rFonts w:hint="default" w:ascii="Times New Roman" w:hAnsi="Times New Roman" w:cs="Times New Roman"/>
      </w:rPr>
    </w:lvl>
    <w:lvl w:ilvl="1" w:tentative="0">
      <w:start w:val="1"/>
      <w:numFmt w:val="lowerLetter"/>
      <w:lvlText w:val="%2)"/>
      <w:lvlJc w:val="left"/>
      <w:pPr>
        <w:tabs>
          <w:tab w:val="left" w:pos="1483"/>
        </w:tabs>
        <w:ind w:left="1483" w:hanging="420"/>
      </w:pPr>
      <w:rPr>
        <w:rFonts w:hint="default" w:ascii="Times New Roman" w:hAnsi="Times New Roman" w:cs="Times New Roman"/>
      </w:rPr>
    </w:lvl>
    <w:lvl w:ilvl="2" w:tentative="0">
      <w:start w:val="1"/>
      <w:numFmt w:val="lowerRoman"/>
      <w:lvlText w:val="%3."/>
      <w:lvlJc w:val="right"/>
      <w:pPr>
        <w:tabs>
          <w:tab w:val="left" w:pos="1903"/>
        </w:tabs>
        <w:ind w:left="1903" w:hanging="420"/>
      </w:pPr>
      <w:rPr>
        <w:rFonts w:hint="default" w:ascii="Times New Roman" w:hAnsi="Times New Roman" w:cs="Times New Roman"/>
      </w:rPr>
    </w:lvl>
    <w:lvl w:ilvl="3" w:tentative="0">
      <w:start w:val="1"/>
      <w:numFmt w:val="decimal"/>
      <w:lvlText w:val="%4."/>
      <w:lvlJc w:val="left"/>
      <w:pPr>
        <w:tabs>
          <w:tab w:val="left" w:pos="2323"/>
        </w:tabs>
        <w:ind w:left="2323" w:hanging="420"/>
      </w:pPr>
      <w:rPr>
        <w:rFonts w:hint="default" w:ascii="Times New Roman" w:hAnsi="Times New Roman" w:cs="Times New Roman"/>
      </w:rPr>
    </w:lvl>
    <w:lvl w:ilvl="4" w:tentative="0">
      <w:start w:val="1"/>
      <w:numFmt w:val="lowerLetter"/>
      <w:lvlText w:val="%5)"/>
      <w:lvlJc w:val="left"/>
      <w:pPr>
        <w:tabs>
          <w:tab w:val="left" w:pos="2743"/>
        </w:tabs>
        <w:ind w:left="2743" w:hanging="420"/>
      </w:pPr>
      <w:rPr>
        <w:rFonts w:hint="default" w:ascii="Times New Roman" w:hAnsi="Times New Roman" w:cs="Times New Roman"/>
      </w:rPr>
    </w:lvl>
    <w:lvl w:ilvl="5" w:tentative="0">
      <w:start w:val="1"/>
      <w:numFmt w:val="lowerRoman"/>
      <w:lvlText w:val="%6."/>
      <w:lvlJc w:val="right"/>
      <w:pPr>
        <w:tabs>
          <w:tab w:val="left" w:pos="3163"/>
        </w:tabs>
        <w:ind w:left="3163" w:hanging="420"/>
      </w:pPr>
      <w:rPr>
        <w:rFonts w:hint="default" w:ascii="Times New Roman" w:hAnsi="Times New Roman" w:cs="Times New Roman"/>
      </w:rPr>
    </w:lvl>
    <w:lvl w:ilvl="6" w:tentative="0">
      <w:start w:val="1"/>
      <w:numFmt w:val="decimal"/>
      <w:lvlText w:val="%7."/>
      <w:lvlJc w:val="left"/>
      <w:pPr>
        <w:tabs>
          <w:tab w:val="left" w:pos="3583"/>
        </w:tabs>
        <w:ind w:left="3583" w:hanging="420"/>
      </w:pPr>
      <w:rPr>
        <w:rFonts w:hint="default" w:ascii="Times New Roman" w:hAnsi="Times New Roman" w:cs="Times New Roman"/>
      </w:rPr>
    </w:lvl>
    <w:lvl w:ilvl="7" w:tentative="0">
      <w:start w:val="1"/>
      <w:numFmt w:val="lowerLetter"/>
      <w:lvlText w:val="%8)"/>
      <w:lvlJc w:val="left"/>
      <w:pPr>
        <w:tabs>
          <w:tab w:val="left" w:pos="4003"/>
        </w:tabs>
        <w:ind w:left="4003" w:hanging="420"/>
      </w:pPr>
      <w:rPr>
        <w:rFonts w:hint="default" w:ascii="Times New Roman" w:hAnsi="Times New Roman" w:cs="Times New Roman"/>
      </w:rPr>
    </w:lvl>
    <w:lvl w:ilvl="8" w:tentative="0">
      <w:start w:val="1"/>
      <w:numFmt w:val="lowerRoman"/>
      <w:lvlText w:val="%9."/>
      <w:lvlJc w:val="right"/>
      <w:pPr>
        <w:tabs>
          <w:tab w:val="left" w:pos="4423"/>
        </w:tabs>
        <w:ind w:left="4423" w:hanging="420"/>
      </w:pPr>
      <w:rPr>
        <w:rFonts w:hint="default" w:ascii="Times New Roman" w:hAnsi="Times New Roman"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noPunctuationKerning w:val="true"/>
  <w:characterSpacingControl w:val="doNotCompress"/>
  <w:compat>
    <w:balanceSingleByteDoubleByteWidth/>
    <w:doNotExpandShiftReturn/>
    <w:useFELayout/>
    <w:compatSetting w:name="compatibilityMode" w:uri="http://schemas.microsoft.com/office/word" w:val="12"/>
  </w:compat>
  <w:rsids>
    <w:rsidRoot w:val="00A83FB5"/>
    <w:rsid w:val="00025019"/>
    <w:rsid w:val="000320B9"/>
    <w:rsid w:val="00034BA0"/>
    <w:rsid w:val="00046704"/>
    <w:rsid w:val="00093351"/>
    <w:rsid w:val="000A65E2"/>
    <w:rsid w:val="000D4A47"/>
    <w:rsid w:val="000D7AD5"/>
    <w:rsid w:val="00103FCF"/>
    <w:rsid w:val="00105EBA"/>
    <w:rsid w:val="00170835"/>
    <w:rsid w:val="001B0F1D"/>
    <w:rsid w:val="001C15E1"/>
    <w:rsid w:val="001C445C"/>
    <w:rsid w:val="002071EA"/>
    <w:rsid w:val="002350BA"/>
    <w:rsid w:val="00247A02"/>
    <w:rsid w:val="00253BBE"/>
    <w:rsid w:val="00274546"/>
    <w:rsid w:val="00281D84"/>
    <w:rsid w:val="002955DF"/>
    <w:rsid w:val="002E0659"/>
    <w:rsid w:val="00315D6E"/>
    <w:rsid w:val="00341FD6"/>
    <w:rsid w:val="00343A65"/>
    <w:rsid w:val="003462EA"/>
    <w:rsid w:val="00351400"/>
    <w:rsid w:val="003912B5"/>
    <w:rsid w:val="00397B9F"/>
    <w:rsid w:val="003B3AB5"/>
    <w:rsid w:val="003F2819"/>
    <w:rsid w:val="003F5B6D"/>
    <w:rsid w:val="004012A8"/>
    <w:rsid w:val="004302EC"/>
    <w:rsid w:val="00433F5B"/>
    <w:rsid w:val="004353D2"/>
    <w:rsid w:val="00463E16"/>
    <w:rsid w:val="004640CC"/>
    <w:rsid w:val="00481FEF"/>
    <w:rsid w:val="00493CA6"/>
    <w:rsid w:val="004B71CC"/>
    <w:rsid w:val="004E139A"/>
    <w:rsid w:val="004E151F"/>
    <w:rsid w:val="004E3207"/>
    <w:rsid w:val="0052378F"/>
    <w:rsid w:val="00525C4B"/>
    <w:rsid w:val="00526412"/>
    <w:rsid w:val="00536685"/>
    <w:rsid w:val="005911F4"/>
    <w:rsid w:val="005D4110"/>
    <w:rsid w:val="0060274F"/>
    <w:rsid w:val="006114CF"/>
    <w:rsid w:val="00633373"/>
    <w:rsid w:val="0065094A"/>
    <w:rsid w:val="0065175C"/>
    <w:rsid w:val="00674D05"/>
    <w:rsid w:val="006849CD"/>
    <w:rsid w:val="0069061D"/>
    <w:rsid w:val="006C787B"/>
    <w:rsid w:val="006D5D00"/>
    <w:rsid w:val="007149B5"/>
    <w:rsid w:val="00727996"/>
    <w:rsid w:val="00742839"/>
    <w:rsid w:val="00745F1E"/>
    <w:rsid w:val="007578EE"/>
    <w:rsid w:val="0077198E"/>
    <w:rsid w:val="00773D42"/>
    <w:rsid w:val="007B1AB7"/>
    <w:rsid w:val="007B5929"/>
    <w:rsid w:val="007E7277"/>
    <w:rsid w:val="008057CF"/>
    <w:rsid w:val="0082256F"/>
    <w:rsid w:val="00847BCA"/>
    <w:rsid w:val="0086656B"/>
    <w:rsid w:val="00887DAF"/>
    <w:rsid w:val="0089017E"/>
    <w:rsid w:val="008C1E2F"/>
    <w:rsid w:val="008E7EE6"/>
    <w:rsid w:val="00936A78"/>
    <w:rsid w:val="00964D4D"/>
    <w:rsid w:val="0099753F"/>
    <w:rsid w:val="00A00475"/>
    <w:rsid w:val="00A14D1C"/>
    <w:rsid w:val="00A319F3"/>
    <w:rsid w:val="00A4648E"/>
    <w:rsid w:val="00A50F3F"/>
    <w:rsid w:val="00A83FB5"/>
    <w:rsid w:val="00A86FAA"/>
    <w:rsid w:val="00A953B5"/>
    <w:rsid w:val="00AC5339"/>
    <w:rsid w:val="00AF2E95"/>
    <w:rsid w:val="00AF3B21"/>
    <w:rsid w:val="00B13E1E"/>
    <w:rsid w:val="00B14839"/>
    <w:rsid w:val="00B16D7D"/>
    <w:rsid w:val="00B20378"/>
    <w:rsid w:val="00B237FF"/>
    <w:rsid w:val="00B32944"/>
    <w:rsid w:val="00B409C6"/>
    <w:rsid w:val="00B51B16"/>
    <w:rsid w:val="00B62D36"/>
    <w:rsid w:val="00B93047"/>
    <w:rsid w:val="00B93FBC"/>
    <w:rsid w:val="00BA01F8"/>
    <w:rsid w:val="00BB3CA6"/>
    <w:rsid w:val="00BC3C73"/>
    <w:rsid w:val="00BC7E45"/>
    <w:rsid w:val="00C17AF8"/>
    <w:rsid w:val="00C346B5"/>
    <w:rsid w:val="00C73B24"/>
    <w:rsid w:val="00CC03B2"/>
    <w:rsid w:val="00CD7A9E"/>
    <w:rsid w:val="00CF4E8B"/>
    <w:rsid w:val="00D05851"/>
    <w:rsid w:val="00D5124E"/>
    <w:rsid w:val="00D61E1B"/>
    <w:rsid w:val="00D6660D"/>
    <w:rsid w:val="00D82352"/>
    <w:rsid w:val="00D966E9"/>
    <w:rsid w:val="00DB0357"/>
    <w:rsid w:val="00DB3684"/>
    <w:rsid w:val="00DC67E7"/>
    <w:rsid w:val="00E07F98"/>
    <w:rsid w:val="00E10ECE"/>
    <w:rsid w:val="00E1185D"/>
    <w:rsid w:val="00E4468F"/>
    <w:rsid w:val="00E6139A"/>
    <w:rsid w:val="00E657F0"/>
    <w:rsid w:val="00E93154"/>
    <w:rsid w:val="00E9535E"/>
    <w:rsid w:val="00EB055D"/>
    <w:rsid w:val="00EC38B2"/>
    <w:rsid w:val="00EE0D4A"/>
    <w:rsid w:val="00EE1D75"/>
    <w:rsid w:val="00EF4F80"/>
    <w:rsid w:val="00F045B2"/>
    <w:rsid w:val="00F06883"/>
    <w:rsid w:val="00F53BE4"/>
    <w:rsid w:val="00F77647"/>
    <w:rsid w:val="00FA31F5"/>
    <w:rsid w:val="00FA4543"/>
    <w:rsid w:val="00FC09EF"/>
    <w:rsid w:val="00FC10CB"/>
    <w:rsid w:val="00FC68E8"/>
    <w:rsid w:val="00FF36A7"/>
    <w:rsid w:val="BDF7A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17"/>
    <w:qFormat/>
    <w:uiPriority w:val="0"/>
    <w:pPr>
      <w:widowControl/>
      <w:spacing w:before="100" w:beforeAutospacing="1" w:after="100" w:afterAutospacing="1"/>
      <w:jc w:val="left"/>
      <w:outlineLvl w:val="0"/>
    </w:pPr>
    <w:rPr>
      <w:rFonts w:ascii="宋体" w:hAnsi="宋体" w:cs="宋体"/>
      <w:b/>
      <w:bCs/>
      <w:kern w:val="44"/>
      <w:sz w:val="48"/>
      <w:szCs w:val="48"/>
    </w:rPr>
  </w:style>
  <w:style w:type="paragraph" w:styleId="3">
    <w:name w:val="heading 2"/>
    <w:basedOn w:val="1"/>
    <w:next w:val="1"/>
    <w:link w:val="18"/>
    <w:qFormat/>
    <w:uiPriority w:val="0"/>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link w:val="19"/>
    <w:qFormat/>
    <w:uiPriority w:val="0"/>
    <w:pPr>
      <w:widowControl/>
      <w:spacing w:before="100" w:beforeAutospacing="1" w:after="100" w:afterAutospacing="1"/>
      <w:jc w:val="left"/>
      <w:outlineLvl w:val="2"/>
    </w:pPr>
    <w:rPr>
      <w:rFonts w:ascii="宋体" w:hAnsi="宋体" w:cs="宋体"/>
      <w:b/>
      <w:bCs/>
      <w:kern w:val="0"/>
      <w:sz w:val="27"/>
      <w:szCs w:val="27"/>
    </w:rPr>
  </w:style>
  <w:style w:type="paragraph" w:styleId="5">
    <w:name w:val="heading 4"/>
    <w:basedOn w:val="1"/>
    <w:next w:val="1"/>
    <w:link w:val="20"/>
    <w:qFormat/>
    <w:uiPriority w:val="0"/>
    <w:pPr>
      <w:widowControl/>
      <w:spacing w:before="100" w:beforeAutospacing="1" w:after="100" w:afterAutospacing="1"/>
      <w:jc w:val="left"/>
      <w:outlineLvl w:val="3"/>
    </w:pPr>
    <w:rPr>
      <w:rFonts w:ascii="宋体" w:hAnsi="宋体" w:cs="宋体"/>
      <w:b/>
      <w:bCs/>
      <w:kern w:val="0"/>
      <w:sz w:val="24"/>
      <w:szCs w:val="24"/>
    </w:rPr>
  </w:style>
  <w:style w:type="paragraph" w:styleId="6">
    <w:name w:val="heading 5"/>
    <w:basedOn w:val="1"/>
    <w:next w:val="1"/>
    <w:link w:val="21"/>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6"/>
    <w:basedOn w:val="1"/>
    <w:next w:val="1"/>
    <w:link w:val="22"/>
    <w:qFormat/>
    <w:uiPriority w:val="0"/>
    <w:pPr>
      <w:widowControl/>
      <w:spacing w:before="100" w:beforeAutospacing="1" w:after="100" w:afterAutospacing="1"/>
      <w:jc w:val="left"/>
      <w:outlineLvl w:val="5"/>
    </w:pPr>
    <w:rPr>
      <w:rFonts w:ascii="宋体" w:hAnsi="宋体" w:cs="宋体"/>
      <w:b/>
      <w:bCs/>
      <w:kern w:val="0"/>
      <w:sz w:val="15"/>
      <w:szCs w:val="15"/>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26"/>
    <w:qFormat/>
    <w:uiPriority w:val="0"/>
    <w:rPr>
      <w:sz w:val="18"/>
      <w:szCs w:val="18"/>
    </w:rPr>
  </w:style>
  <w:style w:type="paragraph" w:styleId="9">
    <w:name w:val="footer"/>
    <w:basedOn w:val="1"/>
    <w:link w:val="25"/>
    <w:qFormat/>
    <w:uiPriority w:val="99"/>
    <w:pPr>
      <w:snapToGrid w:val="0"/>
      <w:jc w:val="left"/>
    </w:pPr>
    <w:rPr>
      <w:sz w:val="18"/>
      <w:szCs w:val="18"/>
    </w:rPr>
  </w:style>
  <w:style w:type="paragraph" w:styleId="10">
    <w:name w:val="header"/>
    <w:basedOn w:val="1"/>
    <w:link w:val="24"/>
    <w:qFormat/>
    <w:uiPriority w:val="0"/>
    <w:pPr>
      <w:pBdr>
        <w:bottom w:val="single" w:color="auto" w:sz="6" w:space="1"/>
      </w:pBdr>
      <w:snapToGrid w:val="0"/>
      <w:jc w:val="center"/>
    </w:pPr>
    <w:rPr>
      <w:sz w:val="18"/>
      <w:szCs w:val="18"/>
    </w:rPr>
  </w:style>
  <w:style w:type="paragraph" w:styleId="11">
    <w:name w:val="Body Text Indent 3"/>
    <w:basedOn w:val="1"/>
    <w:link w:val="42"/>
    <w:qFormat/>
    <w:uiPriority w:val="0"/>
    <w:pPr>
      <w:spacing w:line="560" w:lineRule="exact"/>
      <w:ind w:firstLine="640" w:firstLineChars="200"/>
    </w:pPr>
    <w:rPr>
      <w:rFonts w:ascii="仿宋_GB2312" w:hAnsi="宋体" w:eastAsia="仿宋_GB2312"/>
      <w:bCs/>
      <w:sz w:val="32"/>
      <w:szCs w:val="24"/>
    </w:rPr>
  </w:style>
  <w:style w:type="paragraph" w:styleId="12">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13">
    <w:name w:val="Normal (Web)"/>
    <w:basedOn w:val="1"/>
    <w:qFormat/>
    <w:uiPriority w:val="0"/>
    <w:pPr>
      <w:widowControl/>
      <w:spacing w:before="100" w:beforeAutospacing="1" w:after="100" w:afterAutospacing="1"/>
      <w:jc w:val="left"/>
    </w:pPr>
    <w:rPr>
      <w:rFonts w:ascii="Times New Roman" w:hAnsi="Times New Roman"/>
      <w:kern w:val="0"/>
      <w:sz w:val="24"/>
      <w:szCs w:val="24"/>
    </w:rPr>
  </w:style>
  <w:style w:type="table" w:styleId="15">
    <w:name w:val="Table Grid"/>
    <w:basedOn w:val="14"/>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标题 1 Char"/>
    <w:basedOn w:val="16"/>
    <w:link w:val="2"/>
    <w:qFormat/>
    <w:uiPriority w:val="0"/>
    <w:rPr>
      <w:rFonts w:ascii="Calibri" w:hAnsi="Calibri" w:eastAsia="宋体"/>
      <w:b/>
      <w:bCs/>
      <w:kern w:val="44"/>
      <w:sz w:val="44"/>
      <w:szCs w:val="44"/>
    </w:rPr>
  </w:style>
  <w:style w:type="character" w:customStyle="1" w:styleId="18">
    <w:name w:val="标题 2 Char"/>
    <w:basedOn w:val="16"/>
    <w:link w:val="3"/>
    <w:qFormat/>
    <w:uiPriority w:val="0"/>
    <w:rPr>
      <w:rFonts w:asciiTheme="majorHAnsi" w:hAnsiTheme="majorHAnsi" w:eastAsiaTheme="majorEastAsia" w:cstheme="majorBidi"/>
      <w:b/>
      <w:bCs/>
      <w:kern w:val="2"/>
      <w:sz w:val="32"/>
      <w:szCs w:val="32"/>
    </w:rPr>
  </w:style>
  <w:style w:type="character" w:customStyle="1" w:styleId="19">
    <w:name w:val="标题 3 Char"/>
    <w:basedOn w:val="16"/>
    <w:link w:val="4"/>
    <w:qFormat/>
    <w:uiPriority w:val="0"/>
    <w:rPr>
      <w:rFonts w:ascii="Calibri" w:hAnsi="Calibri" w:eastAsia="宋体"/>
      <w:b/>
      <w:bCs/>
      <w:kern w:val="2"/>
      <w:sz w:val="32"/>
      <w:szCs w:val="32"/>
    </w:rPr>
  </w:style>
  <w:style w:type="character" w:customStyle="1" w:styleId="20">
    <w:name w:val="标题 4 Char"/>
    <w:basedOn w:val="16"/>
    <w:link w:val="5"/>
    <w:qFormat/>
    <w:uiPriority w:val="0"/>
    <w:rPr>
      <w:rFonts w:asciiTheme="majorHAnsi" w:hAnsiTheme="majorHAnsi" w:eastAsiaTheme="majorEastAsia" w:cstheme="majorBidi"/>
      <w:b/>
      <w:bCs/>
      <w:kern w:val="2"/>
      <w:sz w:val="28"/>
      <w:szCs w:val="28"/>
    </w:rPr>
  </w:style>
  <w:style w:type="character" w:customStyle="1" w:styleId="21">
    <w:name w:val="标题 5 Char"/>
    <w:basedOn w:val="16"/>
    <w:link w:val="6"/>
    <w:qFormat/>
    <w:uiPriority w:val="0"/>
    <w:rPr>
      <w:rFonts w:ascii="Calibri" w:hAnsi="Calibri" w:eastAsia="宋体"/>
      <w:b/>
      <w:bCs/>
      <w:kern w:val="2"/>
      <w:sz w:val="28"/>
      <w:szCs w:val="28"/>
    </w:rPr>
  </w:style>
  <w:style w:type="character" w:customStyle="1" w:styleId="22">
    <w:name w:val="标题 6 Char"/>
    <w:basedOn w:val="16"/>
    <w:link w:val="7"/>
    <w:qFormat/>
    <w:uiPriority w:val="0"/>
    <w:rPr>
      <w:rFonts w:asciiTheme="majorHAnsi" w:hAnsiTheme="majorHAnsi" w:eastAsiaTheme="majorEastAsia" w:cstheme="majorBidi"/>
      <w:b/>
      <w:bCs/>
      <w:kern w:val="2"/>
      <w:sz w:val="24"/>
      <w:szCs w:val="24"/>
    </w:rPr>
  </w:style>
  <w:style w:type="character" w:customStyle="1" w:styleId="23">
    <w:name w:val="HTML 预设格式 Char"/>
    <w:basedOn w:val="16"/>
    <w:link w:val="12"/>
    <w:qFormat/>
    <w:uiPriority w:val="0"/>
    <w:rPr>
      <w:rFonts w:ascii="Courier New" w:hAnsi="Courier New" w:eastAsia="宋体" w:cs="Courier New"/>
      <w:kern w:val="2"/>
    </w:rPr>
  </w:style>
  <w:style w:type="character" w:customStyle="1" w:styleId="24">
    <w:name w:val="页眉 Char"/>
    <w:basedOn w:val="16"/>
    <w:link w:val="10"/>
    <w:qFormat/>
    <w:uiPriority w:val="0"/>
    <w:rPr>
      <w:rFonts w:ascii="Calibri" w:hAnsi="Calibri" w:eastAsia="宋体"/>
      <w:kern w:val="2"/>
      <w:sz w:val="18"/>
      <w:szCs w:val="18"/>
    </w:rPr>
  </w:style>
  <w:style w:type="character" w:customStyle="1" w:styleId="25">
    <w:name w:val="页脚 Char"/>
    <w:basedOn w:val="16"/>
    <w:link w:val="9"/>
    <w:qFormat/>
    <w:uiPriority w:val="99"/>
    <w:rPr>
      <w:rFonts w:ascii="Calibri" w:hAnsi="Calibri" w:eastAsia="宋体"/>
      <w:kern w:val="2"/>
      <w:sz w:val="18"/>
      <w:szCs w:val="18"/>
    </w:rPr>
  </w:style>
  <w:style w:type="character" w:customStyle="1" w:styleId="26">
    <w:name w:val="批注框文本 Char"/>
    <w:basedOn w:val="16"/>
    <w:link w:val="8"/>
    <w:qFormat/>
    <w:uiPriority w:val="0"/>
    <w:rPr>
      <w:rFonts w:ascii="Calibri" w:hAnsi="Calibri" w:eastAsia="宋体"/>
      <w:kern w:val="2"/>
      <w:sz w:val="18"/>
      <w:szCs w:val="18"/>
    </w:rPr>
  </w:style>
  <w:style w:type="paragraph" w:customStyle="1" w:styleId="27">
    <w:name w:val="HTML 预设格式 Char1"/>
    <w:basedOn w:val="1"/>
    <w:qFormat/>
    <w:uiPriority w:val="0"/>
    <w:pPr>
      <w:widowControl/>
      <w:jc w:val="left"/>
    </w:pPr>
    <w:rPr>
      <w:rFonts w:ascii="Courier New" w:hAnsi="Courier New" w:cs="Courier New"/>
      <w:kern w:val="0"/>
      <w:sz w:val="20"/>
      <w:szCs w:val="20"/>
    </w:rPr>
  </w:style>
  <w:style w:type="paragraph" w:customStyle="1" w:styleId="28">
    <w:name w:val="msolistparagraph"/>
    <w:basedOn w:val="1"/>
    <w:qFormat/>
    <w:uiPriority w:val="0"/>
    <w:pPr>
      <w:ind w:firstLine="420" w:firstLineChars="200"/>
    </w:pPr>
  </w:style>
  <w:style w:type="paragraph" w:customStyle="1" w:styleId="29">
    <w:name w:val="普通(网站) Char"/>
    <w:basedOn w:val="1"/>
    <w:qFormat/>
    <w:uiPriority w:val="0"/>
    <w:pPr>
      <w:widowControl/>
      <w:spacing w:before="100" w:beforeAutospacing="1" w:after="100" w:afterAutospacing="1"/>
      <w:jc w:val="left"/>
    </w:pPr>
    <w:rPr>
      <w:rFonts w:ascii="Times New Roman" w:hAnsi="Times New Roman"/>
      <w:kern w:val="0"/>
      <w:sz w:val="24"/>
      <w:szCs w:val="24"/>
    </w:rPr>
  </w:style>
  <w:style w:type="paragraph" w:customStyle="1" w:styleId="30">
    <w:name w:val="普通(网站) Char Char"/>
    <w:basedOn w:val="1"/>
    <w:qFormat/>
    <w:uiPriority w:val="0"/>
    <w:pPr>
      <w:widowControl/>
      <w:spacing w:before="100" w:beforeAutospacing="1" w:after="100" w:afterAutospacing="1"/>
      <w:jc w:val="left"/>
    </w:pPr>
    <w:rPr>
      <w:rFonts w:ascii="Times New Roman" w:hAnsi="Times New Roman"/>
      <w:kern w:val="0"/>
      <w:sz w:val="24"/>
      <w:szCs w:val="24"/>
    </w:rPr>
  </w:style>
  <w:style w:type="character" w:customStyle="1" w:styleId="31">
    <w:name w:val="10"/>
    <w:basedOn w:val="16"/>
    <w:qFormat/>
    <w:uiPriority w:val="0"/>
    <w:rPr>
      <w:rFonts w:hint="default" w:ascii="Times New Roman" w:hAnsi="Times New Roman" w:cs="Times New Roman"/>
    </w:rPr>
  </w:style>
  <w:style w:type="character" w:customStyle="1" w:styleId="32">
    <w:name w:val="15"/>
    <w:basedOn w:val="16"/>
    <w:qFormat/>
    <w:uiPriority w:val="0"/>
    <w:rPr>
      <w:rFonts w:hint="default" w:ascii="Times New Roman" w:hAnsi="Times New Roman" w:cs="Times New Roman"/>
    </w:rPr>
  </w:style>
  <w:style w:type="character" w:customStyle="1" w:styleId="33">
    <w:name w:val="16"/>
    <w:basedOn w:val="16"/>
    <w:qFormat/>
    <w:uiPriority w:val="0"/>
    <w:rPr>
      <w:rFonts w:hint="default" w:ascii="Times New Roman" w:hAnsi="Times New Roman" w:cs="Times New Roman"/>
    </w:rPr>
  </w:style>
  <w:style w:type="character" w:customStyle="1" w:styleId="34">
    <w:name w:val="17"/>
    <w:basedOn w:val="16"/>
    <w:qFormat/>
    <w:uiPriority w:val="0"/>
    <w:rPr>
      <w:rFonts w:hint="default" w:ascii="Times New Roman" w:hAnsi="Times New Roman" w:cs="Times New Roman"/>
      <w:sz w:val="18"/>
      <w:szCs w:val="18"/>
    </w:rPr>
  </w:style>
  <w:style w:type="character" w:customStyle="1" w:styleId="35">
    <w:name w:val="18"/>
    <w:basedOn w:val="16"/>
    <w:qFormat/>
    <w:uiPriority w:val="0"/>
    <w:rPr>
      <w:rFonts w:hint="default" w:ascii="Times New Roman" w:hAnsi="Times New Roman" w:cs="Times New Roman"/>
    </w:rPr>
  </w:style>
  <w:style w:type="character" w:customStyle="1" w:styleId="36">
    <w:name w:val="19"/>
    <w:basedOn w:val="16"/>
    <w:qFormat/>
    <w:uiPriority w:val="0"/>
    <w:rPr>
      <w:rFonts w:hint="default" w:ascii="Times New Roman" w:hAnsi="Times New Roman" w:cs="Times New Roman"/>
      <w:sz w:val="18"/>
      <w:szCs w:val="18"/>
    </w:rPr>
  </w:style>
  <w:style w:type="character" w:customStyle="1" w:styleId="37">
    <w:name w:val="20"/>
    <w:basedOn w:val="16"/>
    <w:qFormat/>
    <w:uiPriority w:val="0"/>
    <w:rPr>
      <w:rFonts w:hint="default" w:ascii="Times New Roman" w:hAnsi="Times New Roman" w:cs="Times New Roman"/>
    </w:rPr>
  </w:style>
  <w:style w:type="character" w:customStyle="1" w:styleId="38">
    <w:name w:val="21"/>
    <w:basedOn w:val="16"/>
    <w:qFormat/>
    <w:uiPriority w:val="0"/>
    <w:rPr>
      <w:rFonts w:hint="default" w:ascii="Times New Roman" w:hAnsi="Times New Roman" w:cs="Times New Roman"/>
    </w:rPr>
  </w:style>
  <w:style w:type="character" w:customStyle="1" w:styleId="39">
    <w:name w:val="22"/>
    <w:basedOn w:val="16"/>
    <w:qFormat/>
    <w:uiPriority w:val="0"/>
    <w:rPr>
      <w:rFonts w:hint="default" w:ascii="Times New Roman" w:hAnsi="Times New Roman" w:cs="Times New Roman"/>
      <w:sz w:val="18"/>
      <w:szCs w:val="18"/>
    </w:rPr>
  </w:style>
  <w:style w:type="character" w:customStyle="1" w:styleId="40">
    <w:name w:val="23"/>
    <w:basedOn w:val="16"/>
    <w:qFormat/>
    <w:uiPriority w:val="0"/>
    <w:rPr>
      <w:rFonts w:hint="default" w:ascii="Times New Roman" w:hAnsi="Times New Roman" w:cs="Times New Roman"/>
      <w:color w:val="808080"/>
    </w:rPr>
  </w:style>
  <w:style w:type="character" w:customStyle="1" w:styleId="41">
    <w:name w:val="24"/>
    <w:basedOn w:val="16"/>
    <w:qFormat/>
    <w:uiPriority w:val="0"/>
    <w:rPr>
      <w:rFonts w:hint="default" w:ascii="Times New Roman" w:hAnsi="Times New Roman" w:cs="Times New Roman"/>
    </w:rPr>
  </w:style>
  <w:style w:type="character" w:customStyle="1" w:styleId="42">
    <w:name w:val="正文文本缩进 3 Char"/>
    <w:basedOn w:val="16"/>
    <w:link w:val="11"/>
    <w:qFormat/>
    <w:uiPriority w:val="0"/>
    <w:rPr>
      <w:rFonts w:ascii="仿宋_GB2312" w:hAnsi="宋体" w:eastAsia="仿宋_GB2312"/>
      <w:bCs/>
      <w:kern w:val="2"/>
      <w:sz w:val="32"/>
      <w:szCs w:val="24"/>
    </w:rPr>
  </w:style>
  <w:style w:type="paragraph" w:styleId="43">
    <w:name w:val="List Paragraph"/>
    <w:basedOn w:val="1"/>
    <w:qFormat/>
    <w:uiPriority w:val="34"/>
    <w:pPr>
      <w:ind w:firstLine="420" w:firstLineChars="200"/>
    </w:pPr>
  </w:style>
  <w:style w:type="paragraph" w:customStyle="1" w:styleId="44">
    <w:name w:val="p0"/>
    <w:basedOn w:val="1"/>
    <w:qFormat/>
    <w:uiPriority w:val="0"/>
    <w:pPr>
      <w:widowControl/>
      <w:jc w:val="left"/>
    </w:pPr>
    <w:rPr>
      <w:rFonts w:ascii="Times New Roman" w:hAnsi="Times New Roman"/>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778</Words>
  <Characters>4440</Characters>
  <Lines>37</Lines>
  <Paragraphs>10</Paragraphs>
  <TotalTime>545</TotalTime>
  <ScaleCrop>false</ScaleCrop>
  <LinksUpToDate>false</LinksUpToDate>
  <CharactersWithSpaces>5208</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2017-08-01T16:08:00Z</dcterms:created>
  <dc:creator>Lenovo User</dc:creator>
  <cp:lastModifiedBy>xmadmin</cp:lastModifiedBy>
  <cp:lastPrinted>2018-08-07T16:59:00Z</cp:lastPrinted>
  <dcterms:modified xsi:type="dcterms:W3CDTF">2023-08-21T19:04:57Z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