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967" w:rsidRPr="00DF2967" w:rsidRDefault="00DF2967" w:rsidP="00DF2967">
      <w:pPr>
        <w:widowControl/>
        <w:shd w:val="clear" w:color="auto" w:fill="FFFFFF"/>
        <w:wordWrap w:val="0"/>
        <w:spacing w:line="620" w:lineRule="atLeast"/>
        <w:jc w:val="center"/>
        <w:rPr>
          <w:rFonts w:ascii="宋体" w:eastAsia="宋体" w:hAnsi="宋体" w:cs="宋体"/>
          <w:color w:val="333333"/>
          <w:kern w:val="0"/>
          <w:sz w:val="18"/>
          <w:szCs w:val="18"/>
        </w:rPr>
      </w:pPr>
      <w:bookmarkStart w:id="0" w:name="_GoBack"/>
      <w:r w:rsidRPr="00DF2967">
        <w:rPr>
          <w:rFonts w:ascii="方正小标宋简体" w:eastAsia="方正小标宋简体" w:hAnsi="宋体" w:cs="宋体" w:hint="eastAsia"/>
          <w:color w:val="333333"/>
          <w:kern w:val="0"/>
          <w:sz w:val="44"/>
          <w:szCs w:val="44"/>
        </w:rPr>
        <w:t>2017年度厦门经济管理学院部门决算说明</w:t>
      </w:r>
    </w:p>
    <w:bookmarkEnd w:id="0"/>
    <w:p w:rsidR="00DF2967" w:rsidRPr="00DF2967" w:rsidRDefault="00DF2967" w:rsidP="00DF2967">
      <w:pPr>
        <w:widowControl/>
        <w:shd w:val="clear" w:color="auto" w:fill="FFFFFF"/>
        <w:wordWrap w:val="0"/>
        <w:spacing w:line="620" w:lineRule="atLeast"/>
        <w:ind w:firstLine="640"/>
        <w:jc w:val="left"/>
        <w:rPr>
          <w:rFonts w:ascii="宋体" w:eastAsia="宋体" w:hAnsi="宋体" w:cs="宋体" w:hint="eastAsia"/>
          <w:color w:val="333333"/>
          <w:kern w:val="0"/>
          <w:sz w:val="18"/>
          <w:szCs w:val="18"/>
        </w:rPr>
      </w:pPr>
      <w:r w:rsidRPr="00DF2967">
        <w:rPr>
          <w:rFonts w:ascii="Calibri" w:eastAsia="仿宋" w:hAnsi="Calibri" w:cs="Calibri"/>
          <w:color w:val="333333"/>
          <w:kern w:val="0"/>
          <w:sz w:val="32"/>
          <w:szCs w:val="32"/>
        </w:rPr>
        <w:t> </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按照《中华人民共和国预算法》以及《厦门市财政局关于厦门经济管理学院2017年度部门决算批复》（</w:t>
      </w:r>
      <w:proofErr w:type="gramStart"/>
      <w:r w:rsidRPr="00DF2967">
        <w:rPr>
          <w:rFonts w:ascii="仿宋_GB2312" w:eastAsia="仿宋_GB2312" w:hAnsi="宋体" w:cs="宋体" w:hint="eastAsia"/>
          <w:color w:val="333333"/>
          <w:kern w:val="0"/>
          <w:sz w:val="32"/>
          <w:szCs w:val="32"/>
        </w:rPr>
        <w:t>厦财决</w:t>
      </w:r>
      <w:proofErr w:type="gramEnd"/>
      <w:r w:rsidRPr="00DF2967">
        <w:rPr>
          <w:rFonts w:ascii="仿宋_GB2312" w:eastAsia="仿宋_GB2312" w:hAnsi="宋体" w:cs="宋体" w:hint="eastAsia"/>
          <w:color w:val="333333"/>
          <w:kern w:val="0"/>
          <w:sz w:val="32"/>
          <w:szCs w:val="32"/>
        </w:rPr>
        <w:t>批文〔2018〕6</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号）的批复，现将我单位2017年度部门决算说明如下</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w:t>
      </w:r>
    </w:p>
    <w:p w:rsidR="00DF2967" w:rsidRPr="00DF2967" w:rsidRDefault="00DF2967" w:rsidP="00DF2967">
      <w:pPr>
        <w:widowControl/>
        <w:shd w:val="clear" w:color="auto" w:fill="FFFFFF"/>
        <w:wordWrap w:val="0"/>
        <w:spacing w:line="560" w:lineRule="atLeast"/>
        <w:ind w:left="1363" w:hanging="720"/>
        <w:jc w:val="left"/>
        <w:rPr>
          <w:rFonts w:ascii="宋体" w:eastAsia="宋体" w:hAnsi="宋体" w:cs="宋体" w:hint="eastAsia"/>
          <w:color w:val="333333"/>
          <w:kern w:val="0"/>
          <w:sz w:val="18"/>
          <w:szCs w:val="18"/>
        </w:rPr>
      </w:pPr>
      <w:r w:rsidRPr="00DF2967">
        <w:rPr>
          <w:rFonts w:ascii="Times New Roman" w:eastAsia="宋体" w:hAnsi="Times New Roman" w:cs="Times New Roman"/>
          <w:color w:val="333333"/>
          <w:kern w:val="0"/>
          <w:sz w:val="32"/>
          <w:szCs w:val="32"/>
        </w:rPr>
        <w:t>一、</w:t>
      </w:r>
      <w:r w:rsidRPr="00DF2967">
        <w:rPr>
          <w:rFonts w:ascii="Times New Roman" w:eastAsia="宋体" w:hAnsi="Times New Roman" w:cs="Times New Roman"/>
          <w:color w:val="333333"/>
          <w:kern w:val="0"/>
          <w:sz w:val="14"/>
          <w:szCs w:val="14"/>
        </w:rPr>
        <w:t>   </w:t>
      </w:r>
      <w:r w:rsidRPr="00DF2967">
        <w:rPr>
          <w:rFonts w:ascii="黑体" w:eastAsia="黑体" w:hAnsi="黑体" w:cs="宋体" w:hint="eastAsia"/>
          <w:color w:val="333333"/>
          <w:kern w:val="0"/>
          <w:sz w:val="32"/>
          <w:szCs w:val="32"/>
        </w:rPr>
        <w:t>部门主要职责</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单位的主要职责是：</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一）根据经济社会发展需要，结合岗位职责要求，对国有企业、事业单位的从事专业技术工作的在职专业技术人员（含专业技术管理人员）进行政治理论、政策法规、业务知识、文化素养和技能训练等内容的培训，促进干部素质和能力的全面提高。</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（二）围绕企业改革和发展中的热点、难点问题，广泛开展管理创新、技术创新、资本运营、市场营销等适用性短期培训。</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（三）开展中小企业经营管理人员工商管理培训，促进高素质、职业化企业经营管理人才队伍建设。</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（四）承担厦门市对口支援和帮扶地区及我国西部地区的智力扶贫任务。</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（五）开展国内、国际合作培训。</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（六）开展各行业的岗位培训和各类从业资格培训，提高专业管理水平和岗位任职能力。</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（七）承担原厦门市财会干部教育中心和厦门市军官转业培训中心的职能。</w:t>
      </w:r>
    </w:p>
    <w:p w:rsidR="00DF2967" w:rsidRPr="00DF2967" w:rsidRDefault="00DF2967" w:rsidP="00DF2967">
      <w:pPr>
        <w:widowControl/>
        <w:shd w:val="clear" w:color="auto" w:fill="FFFFFF"/>
        <w:wordWrap w:val="0"/>
        <w:spacing w:line="560" w:lineRule="atLeast"/>
        <w:ind w:firstLine="688"/>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（八）拓展对台合作交流培训。</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二、部门预算单位基本情况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我单位是一级预算单位，内设办公室、总务处、教务处、培训一处</w:t>
      </w:r>
      <w:proofErr w:type="gramStart"/>
      <w:r w:rsidRPr="00DF2967">
        <w:rPr>
          <w:rFonts w:ascii="仿宋_GB2312" w:eastAsia="仿宋_GB2312" w:hAnsi="宋体" w:cs="宋体" w:hint="eastAsia"/>
          <w:color w:val="333333"/>
          <w:kern w:val="0"/>
          <w:sz w:val="32"/>
          <w:szCs w:val="32"/>
        </w:rPr>
        <w:t>至培训</w:t>
      </w:r>
      <w:proofErr w:type="gramEnd"/>
      <w:r w:rsidRPr="00DF2967">
        <w:rPr>
          <w:rFonts w:ascii="仿宋_GB2312" w:eastAsia="仿宋_GB2312" w:hAnsi="宋体" w:cs="宋体" w:hint="eastAsia"/>
          <w:color w:val="333333"/>
          <w:kern w:val="0"/>
          <w:sz w:val="32"/>
          <w:szCs w:val="32"/>
        </w:rPr>
        <w:t>六处共九个部门，没有基层预算单位。列入2018年部门预算编制范围的单位详细情况见下表:</w:t>
      </w:r>
    </w:p>
    <w:tbl>
      <w:tblPr>
        <w:tblW w:w="0" w:type="auto"/>
        <w:jc w:val="center"/>
        <w:tblCellMar>
          <w:left w:w="0" w:type="dxa"/>
          <w:right w:w="0" w:type="dxa"/>
        </w:tblCellMar>
        <w:tblLook w:val="04A0" w:firstRow="1" w:lastRow="0" w:firstColumn="1" w:lastColumn="0" w:noHBand="0" w:noVBand="1"/>
      </w:tblPr>
      <w:tblGrid>
        <w:gridCol w:w="2581"/>
        <w:gridCol w:w="1793"/>
        <w:gridCol w:w="1956"/>
        <w:gridCol w:w="1956"/>
      </w:tblGrid>
      <w:tr w:rsidR="00DF2967" w:rsidRPr="00DF2967" w:rsidTr="00DF2967">
        <w:trPr>
          <w:jc w:val="center"/>
        </w:trPr>
        <w:tc>
          <w:tcPr>
            <w:tcW w:w="26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hint="eastAsia"/>
                <w:kern w:val="0"/>
                <w:sz w:val="24"/>
                <w:szCs w:val="24"/>
              </w:rPr>
            </w:pPr>
            <w:r w:rsidRPr="00DF2967">
              <w:rPr>
                <w:rFonts w:ascii="仿宋_GB2312" w:eastAsia="仿宋_GB2312" w:hAnsi="宋体" w:cs="宋体" w:hint="eastAsia"/>
                <w:kern w:val="0"/>
                <w:sz w:val="30"/>
                <w:szCs w:val="30"/>
              </w:rPr>
              <w:t>单位名称</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经费性质</w:t>
            </w:r>
          </w:p>
        </w:tc>
        <w:tc>
          <w:tcPr>
            <w:tcW w:w="20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人员编制数</w:t>
            </w:r>
          </w:p>
        </w:tc>
        <w:tc>
          <w:tcPr>
            <w:tcW w:w="20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在职人数</w:t>
            </w:r>
          </w:p>
        </w:tc>
      </w:tr>
      <w:tr w:rsidR="00DF2967" w:rsidRPr="00DF2967" w:rsidTr="00DF2967">
        <w:trPr>
          <w:jc w:val="center"/>
        </w:trPr>
        <w:tc>
          <w:tcPr>
            <w:tcW w:w="268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厦门经济管理学院</w:t>
            </w:r>
          </w:p>
        </w:tc>
        <w:tc>
          <w:tcPr>
            <w:tcW w:w="1859" w:type="dxa"/>
            <w:tcBorders>
              <w:top w:val="nil"/>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财政补助</w:t>
            </w:r>
          </w:p>
        </w:tc>
        <w:tc>
          <w:tcPr>
            <w:tcW w:w="2030" w:type="dxa"/>
            <w:tcBorders>
              <w:top w:val="nil"/>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40</w:t>
            </w:r>
          </w:p>
        </w:tc>
        <w:tc>
          <w:tcPr>
            <w:tcW w:w="2030" w:type="dxa"/>
            <w:tcBorders>
              <w:top w:val="nil"/>
              <w:left w:val="nil"/>
              <w:bottom w:val="single" w:sz="8" w:space="0" w:color="auto"/>
              <w:right w:val="single" w:sz="8" w:space="0" w:color="auto"/>
            </w:tcBorders>
            <w:tcMar>
              <w:top w:w="0" w:type="dxa"/>
              <w:left w:w="108" w:type="dxa"/>
              <w:bottom w:w="0" w:type="dxa"/>
              <w:right w:w="108" w:type="dxa"/>
            </w:tcMar>
            <w:hideMark/>
          </w:tcPr>
          <w:p w:rsidR="00DF2967" w:rsidRPr="00DF2967" w:rsidRDefault="00DF2967" w:rsidP="00DF2967">
            <w:pPr>
              <w:widowControl/>
              <w:wordWrap w:val="0"/>
              <w:spacing w:line="560" w:lineRule="atLeast"/>
              <w:jc w:val="left"/>
              <w:rPr>
                <w:rFonts w:ascii="宋体" w:eastAsia="宋体" w:hAnsi="宋体" w:cs="宋体"/>
                <w:kern w:val="0"/>
                <w:sz w:val="24"/>
                <w:szCs w:val="24"/>
              </w:rPr>
            </w:pPr>
            <w:r w:rsidRPr="00DF2967">
              <w:rPr>
                <w:rFonts w:ascii="仿宋_GB2312" w:eastAsia="仿宋_GB2312" w:hAnsi="宋体" w:cs="宋体" w:hint="eastAsia"/>
                <w:kern w:val="0"/>
                <w:sz w:val="30"/>
                <w:szCs w:val="30"/>
              </w:rPr>
              <w:t>35</w:t>
            </w:r>
          </w:p>
        </w:tc>
      </w:tr>
    </w:tbl>
    <w:p w:rsidR="00DF2967" w:rsidRPr="00DF2967" w:rsidRDefault="00DF2967" w:rsidP="00DF2967">
      <w:pPr>
        <w:widowControl/>
        <w:shd w:val="clear" w:color="auto" w:fill="FFFFFF"/>
        <w:wordWrap w:val="0"/>
        <w:spacing w:line="560" w:lineRule="atLeast"/>
        <w:ind w:firstLine="640"/>
        <w:jc w:val="left"/>
        <w:rPr>
          <w:rFonts w:ascii="宋体" w:eastAsia="宋体" w:hAnsi="宋体" w:cs="宋体"/>
          <w:color w:val="333333"/>
          <w:kern w:val="0"/>
          <w:sz w:val="18"/>
          <w:szCs w:val="18"/>
        </w:rPr>
      </w:pPr>
      <w:r w:rsidRPr="00DF2967">
        <w:rPr>
          <w:rFonts w:ascii="黑体" w:eastAsia="黑体" w:hAnsi="黑体" w:cs="宋体" w:hint="eastAsia"/>
          <w:color w:val="333333"/>
          <w:kern w:val="0"/>
          <w:sz w:val="32"/>
          <w:szCs w:val="32"/>
        </w:rPr>
        <w:t>三、部门主要工作总结</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242424"/>
          <w:kern w:val="0"/>
          <w:sz w:val="32"/>
          <w:szCs w:val="32"/>
        </w:rPr>
        <w:t>2017年</w:t>
      </w:r>
      <w:r w:rsidRPr="00DF2967">
        <w:rPr>
          <w:rFonts w:ascii="仿宋_GB2312" w:eastAsia="仿宋_GB2312" w:hAnsi="宋体" w:cs="宋体" w:hint="eastAsia"/>
          <w:color w:val="333333"/>
          <w:kern w:val="0"/>
          <w:sz w:val="32"/>
          <w:szCs w:val="32"/>
        </w:rPr>
        <w:t>学院认真贯彻十九大精神，坚持“服务发展、服务民生、服务社会”的理念，在厦门市人力资源和社会保障局的正确领导下，在校务委员会成员单位的大力支持下，紧紧围绕市委、市政府的工作重点，秉承“激情拥抱智慧，创新成就梦想”的校训精神，认真落实工作部署和安排，积极开展培训工作，用创新精神推进学院人才培训工作的新发展，超额完成了年初既定任务，为厦门建设五个发展示范市提供了人才保障和智力支持。</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2017年学院共开展各类培训班114期，较2016年增加19期，同比增长20%；参训人员13670人次，较2016年增加2960人次，同比增长27.64%。</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2017年培训工作主要特点：</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1.围绕经济工作重心，加强经济管理类公益培训，为国有企业健康快速发展提供人才保障和智力支持；</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2.加强非公企业公益性培训，促进我市非公有制企业的健康发展；</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3.加强法律法规类公益培训，提高法律从业人员专业水平，推进依法行政、依法治市；</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4.扎扎实实办好军转干部培训工作，提升军转干部综合素质，帮助军转干部转变角色；</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5.深入调研，拓展创新，针对企业需求量身定做公益培训服务。</w:t>
      </w:r>
    </w:p>
    <w:p w:rsidR="00DF2967" w:rsidRPr="00DF2967" w:rsidRDefault="00DF2967" w:rsidP="00DF2967">
      <w:pPr>
        <w:widowControl/>
        <w:shd w:val="clear" w:color="auto" w:fill="FFFFFF"/>
        <w:wordWrap w:val="0"/>
        <w:spacing w:line="560" w:lineRule="atLeast"/>
        <w:ind w:firstLine="627"/>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培训工作亮点：</w:t>
      </w:r>
    </w:p>
    <w:p w:rsidR="00DF2967" w:rsidRPr="00DF2967" w:rsidRDefault="00DF2967" w:rsidP="00DF2967">
      <w:pPr>
        <w:widowControl/>
        <w:shd w:val="clear" w:color="auto" w:fill="FFFFFF"/>
        <w:wordWrap w:val="0"/>
        <w:spacing w:line="560" w:lineRule="atLeast"/>
        <w:ind w:firstLine="627"/>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1.服务厦门金砖会晤，积极配合厦门市公安局、厦门市安监局和</w:t>
      </w:r>
      <w:proofErr w:type="gramStart"/>
      <w:r w:rsidRPr="00DF2967">
        <w:rPr>
          <w:rFonts w:ascii="仿宋_GB2312" w:eastAsia="仿宋_GB2312" w:hAnsi="宋体" w:cs="宋体" w:hint="eastAsia"/>
          <w:color w:val="333333"/>
          <w:kern w:val="0"/>
          <w:sz w:val="32"/>
          <w:szCs w:val="32"/>
        </w:rPr>
        <w:t>厦门市国</w:t>
      </w:r>
      <w:proofErr w:type="gramEnd"/>
      <w:r w:rsidRPr="00DF2967">
        <w:rPr>
          <w:rFonts w:ascii="仿宋_GB2312" w:eastAsia="仿宋_GB2312" w:hAnsi="宋体" w:cs="宋体" w:hint="eastAsia"/>
          <w:color w:val="333333"/>
          <w:kern w:val="0"/>
          <w:sz w:val="32"/>
          <w:szCs w:val="32"/>
        </w:rPr>
        <w:t>资委开展相关业务培训班，共7期，培训人数1176人。因组织服务工作出色，获得市公安局的表彰。</w:t>
      </w:r>
    </w:p>
    <w:p w:rsidR="00DF2967" w:rsidRPr="00DF2967" w:rsidRDefault="00DF2967" w:rsidP="00DF2967">
      <w:pPr>
        <w:widowControl/>
        <w:shd w:val="clear" w:color="auto" w:fill="FFFFFF"/>
        <w:wordWrap w:val="0"/>
        <w:spacing w:line="560" w:lineRule="atLeast"/>
        <w:ind w:firstLine="627"/>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2.承接市委组织部交办的赣州市委组织部、赣州市党校的培训任务，做好红蓝项目培训，加强沿海与内地的交</w:t>
      </w:r>
      <w:r w:rsidRPr="00DF2967">
        <w:rPr>
          <w:rFonts w:ascii="仿宋_GB2312" w:eastAsia="仿宋_GB2312" w:hAnsi="宋体" w:cs="宋体" w:hint="eastAsia"/>
          <w:color w:val="333333"/>
          <w:kern w:val="0"/>
          <w:sz w:val="32"/>
          <w:szCs w:val="32"/>
        </w:rPr>
        <w:lastRenderedPageBreak/>
        <w:t>流与合作，实现资源互补、优势互补，提升学院品牌价值。</w:t>
      </w:r>
    </w:p>
    <w:p w:rsidR="00DF2967" w:rsidRPr="00DF2967" w:rsidRDefault="00DF2967" w:rsidP="00DF2967">
      <w:pPr>
        <w:widowControl/>
        <w:shd w:val="clear" w:color="auto" w:fill="FFFFFF"/>
        <w:wordWrap w:val="0"/>
        <w:spacing w:line="560" w:lineRule="atLeast"/>
        <w:ind w:firstLine="627"/>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3.充分发挥学院作为福建省公务员培训基地的职能，承办各地公务员、企业经营管理者培训班13期，参训学员792人次。</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四、2017年决算收支总体情况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2017年年初结转和结余14.95万元，本年收入1,443.85万元，本年支出1,406.14万元，事业基金弥补收支差额0.00万元，结余分配5.49万元，年末结转和结余47.17万元。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（一）2017年本年收入1,443.85万元，比2016年决算数减少5.85万元，下降0.40％，具体情况如下：</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1.财政拨款收入1433.92万元，其中政府性基金0.00万元。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2.事业收入0.00万元。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3.经营收入5.40万元。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4.上级补助收入0.00万元。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5.附属单位上缴收入0.00万元。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6.其他收入4.52万元。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（二）2017年本年支出1406.14万元，比2016年决算数减少153.20万元，下降9.82％，具体情况如下：</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1.基本支出1208.11万元。其中，人员支出1031.39万元，公用支出176.72万元。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2.项目支出193.60万元。</w:t>
      </w:r>
      <w:r w:rsidRPr="00DF2967">
        <w:rPr>
          <w:rFonts w:ascii="仿宋_GB2312" w:eastAsia="仿宋_GB2312" w:hAnsi="宋体" w:cs="宋体" w:hint="eastAsia"/>
          <w:color w:val="333333"/>
          <w:kern w:val="0"/>
          <w:sz w:val="32"/>
          <w:szCs w:val="32"/>
        </w:rPr>
        <w:br/>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3.上缴上级支出0.00万元。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4.经营支出4.43万元。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5.对附属单位补助支出0.00万元。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五、公共财政拨款支出决算情况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2017年公共财政拨款支出1401.70万元，比2016年决算数减少14.76万元，下降1.04%，具体情况如下（按项级科目分类统计）：</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（一）教育支出1164.40万元，较2016年决算数增加31.47万元，增长2.78%。主要原因是人员费用增加了2017增加综治奖。</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（二）社会保障和就业支出183.17万元，较2016年决算数减少71.24万元，下降28.00%。主要原因是2016年行政事业单位养老保险改革,2016年度补缴以前年度的社保费。</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（三）医疗卫生与计划生育支出27.14万元，较2016年决算数减少1.98万元，下降6.8%。主要原因是2017年医疗保险缴费费率降低。</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（四）其他支出27万元，较2016年决算数增加27万元，增加100%。主要原因是2017年住房货币化补贴记录到“其他支出</w:t>
      </w:r>
      <w:r w:rsidRPr="00DF2967">
        <w:rPr>
          <w:rFonts w:ascii="仿宋" w:eastAsia="仿宋" w:hAnsi="仿宋" w:cs="宋体" w:hint="eastAsia"/>
          <w:color w:val="333333"/>
          <w:kern w:val="0"/>
          <w:sz w:val="32"/>
          <w:szCs w:val="32"/>
        </w:rPr>
        <w:t>”</w:t>
      </w:r>
      <w:r w:rsidRPr="00DF2967">
        <w:rPr>
          <w:rFonts w:ascii="仿宋_GB2312" w:eastAsia="仿宋_GB2312" w:hAnsi="宋体" w:cs="宋体" w:hint="eastAsia"/>
          <w:color w:val="333333"/>
          <w:kern w:val="0"/>
          <w:sz w:val="32"/>
          <w:szCs w:val="32"/>
        </w:rPr>
        <w:t>科目核算。</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六、政府性基金支出决算情况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2017年度政府性基金支出0.00万元，比2016年决算数增加0.00万元，增长0.00%。</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七、“三公”经费公共财政拨款支出决算情况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2017年“三公”经费公共财政拨款预算16.30万元，支出决算13.08万元，完成预算的80.25%，同比下降10.96%。主要原因是公务用车运行维护费下降。具体情况如下：</w:t>
      </w:r>
      <w:r w:rsidRPr="00DF2967">
        <w:rPr>
          <w:rFonts w:ascii="仿宋_GB2312" w:eastAsia="仿宋_GB2312" w:hAnsi="宋体" w:cs="宋体" w:hint="eastAsia"/>
          <w:color w:val="333333"/>
          <w:kern w:val="0"/>
          <w:sz w:val="32"/>
          <w:szCs w:val="32"/>
        </w:rPr>
        <w:br/>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（一）因公出国（境）费0.00万元，完成年初预算的100%，2017年因公出国团组人数为0人；2017年度无因公出国（境）费发生。2016年因公出国团组人数为0人；2016年度无因公出国（境）费发生。</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公务用车购置及运行费12.91万元。完成年初预算的84.38%。其中：公务用车购置费0.00万元，2017年公务用车购置0辆。公务用车运行费12.91万元，主要用于公务用车燃油、维修、保险等方面支出，年末公务用车保有量5辆。与2016年相比，公务用车运行费下降12.17%，主要原因是:控制公务用车运行维护费支出。</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（三）公务接待费0.17万元，完成年初预算的17%。主要用于学院开展业务活动等方面的接待活动，累计接待2批次、接待总人数16人。与2016年相比,</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公务接待费支出增长100%，主要原因是2016年没有公务接待费发生。</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t>八、其他重要事项的情况说明</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（一）机关运行经费支出情况。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2017年机关运行经费支出173.29万元，比2016年减少22.42万元，下降11.46%，主要原因是维修维护费和公务用车运行维护费同比2016年度减少。</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（二）政府采购支出情况。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2017年政府采购支出总额11.01万元，其中：政府采购货物支出11.01万元，政府采购工程支出0万元，政府采购服务支出0万元。授予中小企业合同金额11.01万元，占政府采购金额的100%。</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（三）国有资产占用情况。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截至2017年12月31日，共有车辆5辆，其中：部级领导干部用车0辆；一般公务用车5辆；一般执法执勤用车0辆；特种专业技术用车0辆；其他用车0辆。单位价值100万元以上专用设备0台（套）。</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（四）绩效管理工作开展情况。</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我单位2017年实行绩效目标管理的项目0个，涉及一般公共预算拨款192.66万元。</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黑体" w:eastAsia="黑体" w:hAnsi="黑体" w:cs="宋体" w:hint="eastAsia"/>
          <w:color w:val="333333"/>
          <w:kern w:val="0"/>
          <w:sz w:val="32"/>
          <w:szCs w:val="32"/>
        </w:rPr>
        <w:lastRenderedPageBreak/>
        <w:t>九、名词解释</w:t>
      </w:r>
    </w:p>
    <w:p w:rsidR="00DF2967" w:rsidRPr="00DF2967" w:rsidRDefault="00DF2967" w:rsidP="00DF2967">
      <w:pPr>
        <w:widowControl/>
        <w:shd w:val="clear" w:color="auto" w:fill="FFFFFF"/>
        <w:wordWrap w:val="0"/>
        <w:spacing w:line="560" w:lineRule="atLeast"/>
        <w:ind w:firstLine="640"/>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（一）财政拨款收入：指由财政拨款形成的部门收入。按现行管理制度，部门预算中反映的财政拨款包括一般公共预算拨款和政府性基金预算拨款。</w:t>
      </w:r>
    </w:p>
    <w:p w:rsidR="00DF2967" w:rsidRPr="00DF2967" w:rsidRDefault="00DF2967" w:rsidP="00DF2967">
      <w:pPr>
        <w:widowControl/>
        <w:shd w:val="clear" w:color="auto" w:fill="FFFFFF"/>
        <w:wordWrap w:val="0"/>
        <w:spacing w:line="560" w:lineRule="atLeast"/>
        <w:ind w:firstLine="640"/>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（二）其他收入：指“财政拨款收入”、“事业收入”、“事业单位经营收入”等以外的收入。如从非同级财政部门、上级主管部门等取得的用于完成项目或专项任务的资金、库存现金溢余、利息收入等。</w:t>
      </w:r>
    </w:p>
    <w:p w:rsidR="00DF2967" w:rsidRPr="00DF2967" w:rsidRDefault="00DF2967" w:rsidP="00DF2967">
      <w:pPr>
        <w:widowControl/>
        <w:shd w:val="clear" w:color="auto" w:fill="FFFFFF"/>
        <w:wordWrap w:val="0"/>
        <w:spacing w:line="560" w:lineRule="atLeast"/>
        <w:ind w:firstLine="640"/>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（三）基本支出：指为保障机构正常运转、完成日常工作任务而发生的人员支出、对个人和家庭的补助支出和公用支出。</w:t>
      </w:r>
    </w:p>
    <w:p w:rsidR="00DF2967" w:rsidRPr="00DF2967" w:rsidRDefault="00DF2967" w:rsidP="00DF2967">
      <w:pPr>
        <w:widowControl/>
        <w:shd w:val="clear" w:color="auto" w:fill="FFFFFF"/>
        <w:wordWrap w:val="0"/>
        <w:spacing w:line="560" w:lineRule="atLeast"/>
        <w:ind w:firstLine="640"/>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（四）项目支出：指在基本支出之外为完成特定行政任务和事业发展目标所发生的支出，包括部门专项、发展经费和基建项目。</w:t>
      </w:r>
    </w:p>
    <w:p w:rsidR="00DF2967" w:rsidRPr="00DF2967" w:rsidRDefault="00DF2967" w:rsidP="00DF2967">
      <w:pPr>
        <w:widowControl/>
        <w:shd w:val="clear" w:color="auto" w:fill="FFFFFF"/>
        <w:wordWrap w:val="0"/>
        <w:spacing w:line="560" w:lineRule="atLeast"/>
        <w:ind w:firstLine="640"/>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五）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 </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附件：</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1.收支决算总表</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2.收入决算表</w:t>
      </w:r>
    </w:p>
    <w:p w:rsidR="00DF2967" w:rsidRPr="00DF2967" w:rsidRDefault="00DF2967" w:rsidP="00DF2967">
      <w:pPr>
        <w:widowControl/>
        <w:shd w:val="clear" w:color="auto" w:fill="FFFFFF"/>
        <w:wordWrap w:val="0"/>
        <w:spacing w:line="560" w:lineRule="atLeast"/>
        <w:ind w:firstLine="176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lastRenderedPageBreak/>
        <w:t>3.支出决算表</w:t>
      </w:r>
    </w:p>
    <w:p w:rsidR="00DF2967" w:rsidRPr="00DF2967" w:rsidRDefault="00DF2967" w:rsidP="00DF2967">
      <w:pPr>
        <w:widowControl/>
        <w:shd w:val="clear" w:color="auto" w:fill="FFFFFF"/>
        <w:wordWrap w:val="0"/>
        <w:spacing w:line="560" w:lineRule="atLeast"/>
        <w:ind w:firstLine="176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4.财政拨款收入支出决算总表</w:t>
      </w:r>
    </w:p>
    <w:p w:rsidR="00DF2967" w:rsidRPr="00DF2967" w:rsidRDefault="00DF2967" w:rsidP="00DF2967">
      <w:pPr>
        <w:widowControl/>
        <w:shd w:val="clear" w:color="auto" w:fill="FFFFFF"/>
        <w:wordWrap w:val="0"/>
        <w:spacing w:line="560" w:lineRule="atLeast"/>
        <w:ind w:firstLine="176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5.公共财政拨款支出决算表</w:t>
      </w:r>
    </w:p>
    <w:p w:rsidR="00DF2967" w:rsidRPr="00DF2967" w:rsidRDefault="00DF2967" w:rsidP="00DF2967">
      <w:pPr>
        <w:widowControl/>
        <w:shd w:val="clear" w:color="auto" w:fill="FFFFFF"/>
        <w:wordWrap w:val="0"/>
        <w:spacing w:line="560" w:lineRule="atLeast"/>
        <w:ind w:firstLine="176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6.一般公共预算财政拨款支出决算明细表</w:t>
      </w:r>
    </w:p>
    <w:p w:rsidR="00DF2967" w:rsidRPr="00DF2967" w:rsidRDefault="00DF2967" w:rsidP="00DF2967">
      <w:pPr>
        <w:widowControl/>
        <w:shd w:val="clear" w:color="auto" w:fill="FFFFFF"/>
        <w:wordWrap w:val="0"/>
        <w:spacing w:line="560" w:lineRule="atLeast"/>
        <w:ind w:firstLine="176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7.一般公共预算财政拨款基本支出决算表</w:t>
      </w:r>
    </w:p>
    <w:p w:rsidR="00DF2967" w:rsidRPr="00DF2967" w:rsidRDefault="00DF2967" w:rsidP="00DF2967">
      <w:pPr>
        <w:widowControl/>
        <w:shd w:val="clear" w:color="auto" w:fill="FFFFFF"/>
        <w:wordWrap w:val="0"/>
        <w:spacing w:line="560" w:lineRule="atLeast"/>
        <w:ind w:firstLine="640"/>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 xml:space="preserve"> </w:t>
      </w:r>
      <w:r w:rsidRPr="00DF2967">
        <w:rPr>
          <w:rFonts w:ascii="仿宋_GB2312" w:eastAsia="仿宋_GB2312" w:hAnsi="宋体" w:cs="宋体" w:hint="eastAsia"/>
          <w:color w:val="333333"/>
          <w:kern w:val="0"/>
          <w:sz w:val="32"/>
          <w:szCs w:val="32"/>
        </w:rPr>
        <w:t> </w:t>
      </w:r>
      <w:r w:rsidRPr="00DF2967">
        <w:rPr>
          <w:rFonts w:ascii="仿宋_GB2312" w:eastAsia="仿宋_GB2312" w:hAnsi="宋体" w:cs="宋体" w:hint="eastAsia"/>
          <w:color w:val="333333"/>
          <w:kern w:val="0"/>
          <w:sz w:val="32"/>
          <w:szCs w:val="32"/>
        </w:rPr>
        <w:t>8.政府性基金预算财政拨款收入支出决算表</w:t>
      </w:r>
    </w:p>
    <w:p w:rsidR="00DF2967" w:rsidRPr="00DF2967" w:rsidRDefault="00DF2967" w:rsidP="00DF2967">
      <w:pPr>
        <w:widowControl/>
        <w:shd w:val="clear" w:color="auto" w:fill="FFFFFF"/>
        <w:wordWrap w:val="0"/>
        <w:spacing w:line="560" w:lineRule="atLeast"/>
        <w:ind w:left="1758"/>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9.“三公”经费公共预算财政拨款支出决算表</w:t>
      </w:r>
    </w:p>
    <w:p w:rsidR="00DF2967" w:rsidRPr="00DF2967" w:rsidRDefault="00DF2967" w:rsidP="00DF2967">
      <w:pPr>
        <w:widowControl/>
        <w:shd w:val="clear" w:color="auto" w:fill="FFFFFF"/>
        <w:wordWrap w:val="0"/>
        <w:spacing w:line="560" w:lineRule="atLeast"/>
        <w:ind w:left="1758"/>
        <w:jc w:val="left"/>
        <w:rPr>
          <w:rFonts w:ascii="宋体" w:eastAsia="宋体" w:hAnsi="宋体" w:cs="宋体" w:hint="eastAsia"/>
          <w:color w:val="333333"/>
          <w:kern w:val="0"/>
          <w:sz w:val="18"/>
          <w:szCs w:val="18"/>
        </w:rPr>
      </w:pPr>
      <w:r w:rsidRPr="00DF2967">
        <w:rPr>
          <w:rFonts w:ascii="仿宋_GB2312" w:eastAsia="仿宋_GB2312" w:hAnsi="宋体" w:cs="宋体" w:hint="eastAsia"/>
          <w:color w:val="333333"/>
          <w:kern w:val="0"/>
          <w:sz w:val="32"/>
          <w:szCs w:val="32"/>
        </w:rPr>
        <w:t>10.政府采购情况表</w:t>
      </w:r>
    </w:p>
    <w:p w:rsidR="00FF1470" w:rsidRDefault="00FF1470"/>
    <w:sectPr w:rsidR="00FF14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3BF"/>
    <w:rsid w:val="002A43BF"/>
    <w:rsid w:val="00DF2967"/>
    <w:rsid w:val="00FF1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4C5FD-F720-4909-A80B-20C238F4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listparagraph0">
    <w:name w:val="msolistparagraph0"/>
    <w:basedOn w:val="a"/>
    <w:rsid w:val="00DF2967"/>
    <w:pPr>
      <w:widowControl/>
      <w:spacing w:before="100" w:beforeAutospacing="1" w:after="100" w:afterAutospacing="1"/>
      <w:jc w:val="left"/>
    </w:pPr>
    <w:rPr>
      <w:rFonts w:ascii="宋体" w:eastAsia="宋体" w:hAnsi="宋体" w:cs="宋体"/>
      <w:kern w:val="0"/>
      <w:sz w:val="24"/>
      <w:szCs w:val="24"/>
    </w:rPr>
  </w:style>
  <w:style w:type="paragraph" w:styleId="a3">
    <w:name w:val="Body Text Indent"/>
    <w:basedOn w:val="a"/>
    <w:link w:val="Char"/>
    <w:uiPriority w:val="99"/>
    <w:semiHidden/>
    <w:unhideWhenUsed/>
    <w:rsid w:val="00DF2967"/>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缩进 Char"/>
    <w:basedOn w:val="a0"/>
    <w:link w:val="a3"/>
    <w:uiPriority w:val="99"/>
    <w:semiHidden/>
    <w:rsid w:val="00DF2967"/>
    <w:rPr>
      <w:rFonts w:ascii="宋体" w:eastAsia="宋体" w:hAnsi="宋体" w:cs="宋体"/>
      <w:kern w:val="0"/>
      <w:sz w:val="24"/>
      <w:szCs w:val="24"/>
    </w:rPr>
  </w:style>
  <w:style w:type="paragraph" w:styleId="a4">
    <w:name w:val="Normal (Web)"/>
    <w:basedOn w:val="a"/>
    <w:uiPriority w:val="99"/>
    <w:semiHidden/>
    <w:unhideWhenUsed/>
    <w:rsid w:val="00DF296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34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Words>
  <Characters>3108</Characters>
  <Application>Microsoft Office Word</Application>
  <DocSecurity>0</DocSecurity>
  <Lines>25</Lines>
  <Paragraphs>7</Paragraphs>
  <ScaleCrop>false</ScaleCrop>
  <Company>Microsoft</Company>
  <LinksUpToDate>false</LinksUpToDate>
  <CharactersWithSpaces>3646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系统管理员</cp:lastModifiedBy>
  <cp:revision>3</cp:revision>
  <dcterms:created xsi:type="dcterms:W3CDTF">2019-03-28T01:29:00Z</dcterms:created>
  <dcterms:modified xsi:type="dcterms:W3CDTF">2019-03-28T01:29:00Z</dcterms:modified>
</cp:coreProperties>
</file>