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CA887A">
      <w:pPr>
        <w:spacing w:line="360" w:lineRule="auto"/>
        <w:jc w:val="center"/>
        <w:rPr>
          <w:rFonts w:ascii="方正小标宋简体" w:hAnsi="仿宋" w:eastAsia="方正小标宋简体" w:cs="仿宋_GB2312"/>
          <w:sz w:val="84"/>
          <w:szCs w:val="84"/>
        </w:rPr>
      </w:pPr>
      <w:bookmarkStart w:id="0" w:name="_GoBack"/>
      <w:bookmarkEnd w:id="0"/>
    </w:p>
    <w:p w14:paraId="4B0D25CB">
      <w:pPr>
        <w:spacing w:line="360" w:lineRule="auto"/>
        <w:jc w:val="center"/>
        <w:rPr>
          <w:rFonts w:ascii="方正小标宋简体" w:hAnsi="仿宋" w:eastAsia="方正小标宋简体" w:cs="仿宋_GB2312"/>
          <w:sz w:val="84"/>
          <w:szCs w:val="84"/>
        </w:rPr>
      </w:pPr>
    </w:p>
    <w:p w14:paraId="4646B970">
      <w:pPr>
        <w:spacing w:line="360" w:lineRule="auto"/>
        <w:jc w:val="center"/>
        <w:rPr>
          <w:rFonts w:ascii="方正小标宋简体" w:hAnsi="仿宋" w:eastAsia="方正小标宋简体" w:cs="仿宋_GB2312"/>
          <w:sz w:val="84"/>
          <w:szCs w:val="84"/>
        </w:rPr>
      </w:pPr>
      <w:r>
        <w:rPr>
          <w:rFonts w:hint="eastAsia" w:ascii="方正小标宋简体" w:hAnsi="仿宋" w:eastAsia="方正小标宋简体" w:cs="仿宋_GB2312"/>
          <w:sz w:val="84"/>
          <w:szCs w:val="84"/>
        </w:rPr>
        <w:t>2024年度</w:t>
      </w:r>
    </w:p>
    <w:p w14:paraId="5CB991C8">
      <w:pPr>
        <w:spacing w:line="360" w:lineRule="auto"/>
        <w:jc w:val="center"/>
        <w:rPr>
          <w:rFonts w:ascii="方正小标宋简体" w:hAnsi="仿宋" w:eastAsia="方正小标宋简体" w:cs="仿宋_GB2312"/>
          <w:sz w:val="84"/>
          <w:szCs w:val="84"/>
        </w:rPr>
      </w:pPr>
      <w:r>
        <w:rPr>
          <w:rFonts w:hint="eastAsia" w:ascii="方正小标宋简体" w:hAnsi="仿宋" w:eastAsia="方正小标宋简体" w:cs="仿宋_GB2312"/>
          <w:sz w:val="84"/>
          <w:szCs w:val="84"/>
        </w:rPr>
        <w:t>厦门市财政信息中心</w:t>
      </w:r>
    </w:p>
    <w:p w14:paraId="423D595F">
      <w:pPr>
        <w:spacing w:line="360" w:lineRule="auto"/>
        <w:jc w:val="center"/>
        <w:rPr>
          <w:rFonts w:ascii="方正小标宋简体" w:hAnsi="仿宋" w:eastAsia="方正小标宋简体"/>
          <w:sz w:val="84"/>
          <w:szCs w:val="84"/>
        </w:rPr>
      </w:pPr>
      <w:r>
        <w:rPr>
          <w:rFonts w:hint="eastAsia" w:ascii="方正小标宋简体" w:hAnsi="仿宋" w:eastAsia="方正小标宋简体"/>
          <w:sz w:val="84"/>
          <w:szCs w:val="84"/>
        </w:rPr>
        <w:t>预算</w:t>
      </w:r>
    </w:p>
    <w:p w14:paraId="602B83EF">
      <w:pPr>
        <w:spacing w:line="560" w:lineRule="exact"/>
        <w:jc w:val="center"/>
        <w:rPr>
          <w:rFonts w:ascii="黑体" w:hAnsi="黑体" w:eastAsia="黑体"/>
          <w:sz w:val="32"/>
          <w:szCs w:val="32"/>
        </w:rPr>
      </w:pPr>
    </w:p>
    <w:p w14:paraId="76ABCB9E">
      <w:pPr>
        <w:spacing w:line="560" w:lineRule="exact"/>
        <w:jc w:val="center"/>
        <w:rPr>
          <w:rFonts w:ascii="黑体" w:hAnsi="黑体" w:eastAsia="黑体"/>
          <w:sz w:val="32"/>
          <w:szCs w:val="32"/>
        </w:rPr>
      </w:pPr>
      <w:r>
        <w:rPr>
          <w:rFonts w:ascii="黑体" w:hAnsi="黑体" w:eastAsia="黑体"/>
          <w:sz w:val="32"/>
          <w:szCs w:val="32"/>
        </w:rPr>
        <w:br w:type="page"/>
      </w:r>
      <w:r>
        <w:rPr>
          <w:rFonts w:hint="eastAsia" w:ascii="黑体" w:hAnsi="黑体" w:eastAsia="黑体"/>
          <w:sz w:val="32"/>
          <w:szCs w:val="32"/>
        </w:rPr>
        <w:t>目   录</w:t>
      </w:r>
    </w:p>
    <w:p w14:paraId="1BADE7C2">
      <w:pPr>
        <w:tabs>
          <w:tab w:val="left" w:pos="7513"/>
        </w:tabs>
        <w:adjustRightInd w:val="0"/>
        <w:snapToGrid w:val="0"/>
        <w:spacing w:line="560" w:lineRule="exact"/>
        <w:ind w:firstLine="640" w:firstLineChars="200"/>
        <w:rPr>
          <w:rFonts w:ascii="黑体" w:hAnsi="黑体" w:eastAsia="黑体"/>
          <w:sz w:val="32"/>
          <w:szCs w:val="32"/>
        </w:rPr>
      </w:pPr>
      <w:r>
        <w:rPr>
          <w:rFonts w:hint="eastAsia" w:ascii="黑体" w:eastAsia="黑体"/>
          <w:sz w:val="32"/>
          <w:szCs w:val="32"/>
        </w:rPr>
        <w:t xml:space="preserve">第一部分  </w:t>
      </w:r>
      <w:r>
        <w:rPr>
          <w:rFonts w:hint="eastAsia" w:ascii="黑体" w:hAnsi="黑体" w:eastAsia="黑体"/>
          <w:sz w:val="32"/>
          <w:szCs w:val="32"/>
        </w:rPr>
        <w:t>单位概况</w:t>
      </w:r>
    </w:p>
    <w:p w14:paraId="288FF54D">
      <w:pPr>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一、单位主要职责</w:t>
      </w:r>
    </w:p>
    <w:p w14:paraId="712041A1">
      <w:pPr>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二、单位基本情况</w:t>
      </w:r>
    </w:p>
    <w:p w14:paraId="0F4C45DB">
      <w:pPr>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三、单位主要工作任务</w:t>
      </w:r>
    </w:p>
    <w:p w14:paraId="02BB886E">
      <w:pPr>
        <w:tabs>
          <w:tab w:val="left" w:pos="7513"/>
        </w:tabs>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第二部分  2024年单位预算说明</w:t>
      </w:r>
    </w:p>
    <w:p w14:paraId="6FBDF9C1">
      <w:pPr>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一、2024年单位预算收支总体情况</w:t>
      </w:r>
    </w:p>
    <w:p w14:paraId="56E236FF">
      <w:pPr>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二、一般公共预算财政拨款支出预算情况</w:t>
      </w:r>
    </w:p>
    <w:p w14:paraId="54AC1BDB">
      <w:pPr>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三、政府性基金预算财政拨款支出情况</w:t>
      </w:r>
    </w:p>
    <w:p w14:paraId="51584CE2">
      <w:pPr>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四、“三公”经费财政拨款预算情况</w:t>
      </w:r>
    </w:p>
    <w:p w14:paraId="3D0AC206">
      <w:pPr>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五、其他重要事项的情况说明</w:t>
      </w:r>
    </w:p>
    <w:p w14:paraId="204B26F3">
      <w:pPr>
        <w:tabs>
          <w:tab w:val="left" w:pos="7513"/>
        </w:tabs>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第三部分  名词解释</w:t>
      </w:r>
    </w:p>
    <w:p w14:paraId="294FCF7B">
      <w:pPr>
        <w:tabs>
          <w:tab w:val="left" w:pos="7513"/>
        </w:tabs>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第四部分  2024年单位预算附表</w:t>
      </w:r>
    </w:p>
    <w:p w14:paraId="05B44D51">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一、部门收支预算总体情况表</w:t>
      </w:r>
    </w:p>
    <w:p w14:paraId="16B6671E">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二、部门收入预算总体情况表</w:t>
      </w:r>
    </w:p>
    <w:p w14:paraId="4C4EA5E3">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三、部门支出预算总体情况表</w:t>
      </w:r>
    </w:p>
    <w:p w14:paraId="43EBCA14">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四、财政拨款收支预算总体情况表</w:t>
      </w:r>
    </w:p>
    <w:p w14:paraId="18CFAB63">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五、一般公共预算支出情况表</w:t>
      </w:r>
    </w:p>
    <w:p w14:paraId="54801D1E">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六、一般公共预算基本支出情况表（经济分类款级科目）</w:t>
      </w:r>
    </w:p>
    <w:p w14:paraId="093D0A83">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七、一般公共预算“三公”经费支出情况表</w:t>
      </w:r>
    </w:p>
    <w:p w14:paraId="297371D3">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八、政府性基金预算支出情况表</w:t>
      </w:r>
    </w:p>
    <w:p w14:paraId="14FA84C6">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九、市对区转移支付支出预算表</w:t>
      </w:r>
    </w:p>
    <w:p w14:paraId="0AF66771">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p>
    <w:p w14:paraId="5AF17BE3">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p>
    <w:p w14:paraId="1C16669A">
      <w:pPr>
        <w:tabs>
          <w:tab w:val="left" w:pos="7513"/>
        </w:tabs>
        <w:adjustRightInd w:val="0"/>
        <w:snapToGrid w:val="0"/>
        <w:spacing w:line="560" w:lineRule="exact"/>
        <w:jc w:val="center"/>
        <w:rPr>
          <w:rFonts w:ascii="黑体" w:hAnsi="黑体" w:eastAsia="黑体"/>
          <w:sz w:val="32"/>
          <w:szCs w:val="32"/>
        </w:rPr>
      </w:pPr>
      <w:r>
        <w:rPr>
          <w:rFonts w:hint="eastAsia" w:ascii="黑体" w:eastAsia="黑体"/>
          <w:sz w:val="32"/>
          <w:szCs w:val="32"/>
        </w:rPr>
        <w:t>第一部分  单位</w:t>
      </w:r>
      <w:r>
        <w:rPr>
          <w:rFonts w:hint="eastAsia" w:ascii="黑体" w:hAnsi="黑体" w:eastAsia="黑体"/>
          <w:sz w:val="32"/>
          <w:szCs w:val="32"/>
        </w:rPr>
        <w:t>概况</w:t>
      </w:r>
    </w:p>
    <w:p w14:paraId="64741319">
      <w:pPr>
        <w:tabs>
          <w:tab w:val="left" w:pos="7513"/>
        </w:tabs>
        <w:adjustRightInd w:val="0"/>
        <w:snapToGrid w:val="0"/>
        <w:spacing w:line="560" w:lineRule="exact"/>
        <w:ind w:firstLine="640" w:firstLineChars="200"/>
        <w:rPr>
          <w:rFonts w:ascii="黑体" w:hAnsi="黑体" w:eastAsia="黑体"/>
          <w:sz w:val="32"/>
          <w:szCs w:val="32"/>
        </w:rPr>
      </w:pPr>
      <w:r>
        <w:rPr>
          <w:rFonts w:hint="eastAsia" w:ascii="黑体" w:eastAsia="黑体"/>
          <w:sz w:val="32"/>
          <w:szCs w:val="32"/>
        </w:rPr>
        <w:t>一、</w:t>
      </w:r>
      <w:r>
        <w:rPr>
          <w:rFonts w:hint="eastAsia" w:ascii="黑体" w:hAnsi="黑体" w:eastAsia="黑体"/>
          <w:sz w:val="32"/>
          <w:szCs w:val="32"/>
        </w:rPr>
        <w:t>单位主要职责</w:t>
      </w:r>
    </w:p>
    <w:p w14:paraId="291DA863">
      <w:pPr>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ascii="仿宋" w:hAnsi="仿宋" w:eastAsia="仿宋" w:cs="仿宋_GB2312"/>
          <w:sz w:val="32"/>
          <w:szCs w:val="32"/>
        </w:rPr>
        <w:t>厦门市财政</w:t>
      </w:r>
      <w:r>
        <w:rPr>
          <w:rFonts w:hint="eastAsia" w:ascii="仿宋" w:hAnsi="仿宋" w:eastAsia="仿宋" w:cs="仿宋_GB2312"/>
          <w:sz w:val="32"/>
          <w:szCs w:val="32"/>
        </w:rPr>
        <w:t>信息</w:t>
      </w:r>
      <w:r>
        <w:rPr>
          <w:rFonts w:ascii="仿宋" w:hAnsi="仿宋" w:eastAsia="仿宋" w:cs="仿宋_GB2312"/>
          <w:sz w:val="32"/>
          <w:szCs w:val="32"/>
        </w:rPr>
        <w:t>中心</w:t>
      </w:r>
      <w:r>
        <w:rPr>
          <w:rFonts w:hint="eastAsia" w:ascii="仿宋_GB2312" w:hAnsi="仿宋" w:eastAsia="仿宋_GB2312" w:cs="仿宋_GB2312"/>
          <w:sz w:val="32"/>
          <w:szCs w:val="32"/>
        </w:rPr>
        <w:t>的主要职责是：</w:t>
      </w:r>
    </w:p>
    <w:p w14:paraId="7164AAE6">
      <w:pPr>
        <w:pStyle w:val="11"/>
        <w:widowControl w:val="0"/>
        <w:numPr>
          <w:ilvl w:val="0"/>
          <w:numId w:val="1"/>
        </w:numPr>
        <w:pBdr>
          <w:bottom w:val="single" w:color="FFFFFF" w:sz="4" w:space="6"/>
        </w:pBdr>
        <w:adjustRightInd w:val="0"/>
        <w:spacing w:line="560" w:lineRule="exact"/>
        <w:ind w:firstLine="640" w:firstLineChars="200"/>
        <w:rPr>
          <w:rFonts w:hint="default" w:ascii="仿宋" w:hAnsi="仿宋" w:eastAsia="仿宋" w:cs="仿宋_GB2312"/>
          <w:sz w:val="32"/>
          <w:szCs w:val="32"/>
        </w:rPr>
      </w:pPr>
      <w:r>
        <w:rPr>
          <w:rFonts w:ascii="仿宋" w:hAnsi="仿宋" w:eastAsia="仿宋" w:cs="仿宋_GB2312"/>
          <w:sz w:val="32"/>
          <w:szCs w:val="32"/>
        </w:rPr>
        <w:t>负责全市行政事业单位财政财务信息化规划、建设和管理；</w:t>
      </w:r>
    </w:p>
    <w:p w14:paraId="24C353DB">
      <w:pPr>
        <w:pStyle w:val="11"/>
        <w:widowControl w:val="0"/>
        <w:numPr>
          <w:ilvl w:val="0"/>
          <w:numId w:val="1"/>
        </w:numPr>
        <w:pBdr>
          <w:bottom w:val="single" w:color="FFFFFF" w:sz="4" w:space="6"/>
        </w:pBdr>
        <w:adjustRightInd w:val="0"/>
        <w:spacing w:line="560" w:lineRule="exact"/>
        <w:ind w:firstLine="640" w:firstLineChars="200"/>
        <w:rPr>
          <w:rFonts w:hint="default" w:ascii="黑?" w:hAnsi="黑?" w:eastAsia="仿宋_GB2312" w:cs="黑?"/>
          <w:sz w:val="32"/>
          <w:szCs w:val="32"/>
        </w:rPr>
      </w:pPr>
      <w:r>
        <w:rPr>
          <w:rFonts w:ascii="仿宋" w:hAnsi="仿宋" w:eastAsia="仿宋" w:cs="仿宋_GB2312"/>
          <w:sz w:val="32"/>
          <w:szCs w:val="32"/>
        </w:rPr>
        <w:t>负责全市行政事业单位财政管理业务应用系统开发、维护和管理；</w:t>
      </w:r>
    </w:p>
    <w:p w14:paraId="6973A39B">
      <w:pPr>
        <w:pStyle w:val="11"/>
        <w:widowControl w:val="0"/>
        <w:numPr>
          <w:ilvl w:val="0"/>
          <w:numId w:val="1"/>
        </w:numPr>
        <w:pBdr>
          <w:bottom w:val="single" w:color="FFFFFF" w:sz="4" w:space="6"/>
        </w:pBdr>
        <w:adjustRightInd w:val="0"/>
        <w:spacing w:line="560" w:lineRule="exact"/>
        <w:ind w:firstLine="640" w:firstLineChars="200"/>
        <w:rPr>
          <w:rFonts w:hint="default" w:ascii="黑?" w:hAnsi="黑?" w:eastAsia="仿宋_GB2312" w:cs="黑?"/>
          <w:sz w:val="32"/>
          <w:szCs w:val="32"/>
        </w:rPr>
      </w:pPr>
      <w:r>
        <w:rPr>
          <w:rFonts w:ascii="仿宋" w:hAnsi="仿宋" w:eastAsia="仿宋" w:cs="仿宋_GB2312"/>
          <w:sz w:val="32"/>
          <w:szCs w:val="32"/>
        </w:rPr>
        <w:t>负责连接行政事业单位、各区及银行、税务等接入财政网络方案审查、风险评估、安全评测等管理工作；</w:t>
      </w:r>
    </w:p>
    <w:p w14:paraId="30B9636B">
      <w:pPr>
        <w:pStyle w:val="11"/>
        <w:widowControl w:val="0"/>
        <w:numPr>
          <w:ilvl w:val="0"/>
          <w:numId w:val="1"/>
        </w:numPr>
        <w:pBdr>
          <w:bottom w:val="single" w:color="FFFFFF" w:sz="4" w:space="6"/>
        </w:pBdr>
        <w:adjustRightInd w:val="0"/>
        <w:spacing w:line="560" w:lineRule="exact"/>
        <w:ind w:firstLine="640" w:firstLineChars="200"/>
        <w:rPr>
          <w:rFonts w:hint="default" w:ascii="黑?" w:hAnsi="黑?" w:eastAsia="仿宋_GB2312" w:cs="黑?"/>
          <w:sz w:val="32"/>
          <w:szCs w:val="32"/>
        </w:rPr>
      </w:pPr>
      <w:r>
        <w:rPr>
          <w:rFonts w:ascii="仿宋" w:hAnsi="仿宋" w:eastAsia="仿宋" w:cs="仿宋_GB2312"/>
          <w:sz w:val="32"/>
          <w:szCs w:val="32"/>
        </w:rPr>
        <w:t>负责全市财政电子数据的运用和保管；负责全市财政综合数据的采集、分析和保管；</w:t>
      </w:r>
    </w:p>
    <w:p w14:paraId="4C0AFC3C">
      <w:pPr>
        <w:pStyle w:val="11"/>
        <w:widowControl w:val="0"/>
        <w:numPr>
          <w:ilvl w:val="0"/>
          <w:numId w:val="1"/>
        </w:numPr>
        <w:pBdr>
          <w:bottom w:val="single" w:color="FFFFFF" w:sz="4" w:space="6"/>
        </w:pBdr>
        <w:adjustRightInd w:val="0"/>
        <w:spacing w:line="560" w:lineRule="exact"/>
        <w:ind w:firstLine="640" w:firstLineChars="200"/>
        <w:rPr>
          <w:rFonts w:hint="default" w:ascii="黑?" w:hAnsi="黑?" w:eastAsia="仿宋_GB2312" w:cs="黑?"/>
          <w:sz w:val="32"/>
          <w:szCs w:val="32"/>
        </w:rPr>
      </w:pPr>
      <w:r>
        <w:rPr>
          <w:rFonts w:ascii="仿宋" w:hAnsi="仿宋" w:eastAsia="仿宋" w:cs="仿宋_GB2312"/>
          <w:sz w:val="32"/>
          <w:szCs w:val="32"/>
        </w:rPr>
        <w:t>负责指导各区财政部门和市直各行政事业单位的财政财务信息化工作。</w:t>
      </w:r>
    </w:p>
    <w:p w14:paraId="2D90FEB0">
      <w:pPr>
        <w:tabs>
          <w:tab w:val="left" w:pos="7513"/>
        </w:tabs>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二、单位基本情况</w:t>
      </w:r>
    </w:p>
    <w:p w14:paraId="5658EC1A">
      <w:pPr>
        <w:tabs>
          <w:tab w:val="left" w:pos="7513"/>
        </w:tabs>
        <w:adjustRightInd w:val="0"/>
        <w:snapToGrid w:val="0"/>
        <w:spacing w:line="560" w:lineRule="exact"/>
        <w:ind w:firstLine="640" w:firstLineChars="200"/>
        <w:rPr>
          <w:rFonts w:ascii="黑体" w:hAnsi="黑体" w:eastAsia="黑体"/>
          <w:sz w:val="32"/>
          <w:szCs w:val="32"/>
        </w:rPr>
      </w:pPr>
      <w:r>
        <w:rPr>
          <w:rFonts w:hint="eastAsia" w:ascii="仿宋_GB2312" w:hAnsi="仿?_GB2312" w:eastAsia="仿宋_GB2312" w:cs="仿宋_GB2312"/>
          <w:sz w:val="32"/>
          <w:szCs w:val="32"/>
        </w:rPr>
        <w:t>厦门市财政信息中心</w:t>
      </w:r>
      <w:r>
        <w:rPr>
          <w:rFonts w:hint="eastAsia" w:ascii="仿宋_GB2312" w:hAnsi="仿宋" w:eastAsia="仿宋_GB2312" w:cs="仿宋_GB2312"/>
          <w:sz w:val="32"/>
          <w:szCs w:val="32"/>
        </w:rPr>
        <w:t>内设5</w:t>
      </w:r>
      <w:r>
        <w:rPr>
          <w:rFonts w:hint="eastAsia" w:ascii="仿宋_GB2312" w:hAnsi="仿宋" w:eastAsia="仿宋_GB2312"/>
          <w:sz w:val="32"/>
          <w:szCs w:val="32"/>
        </w:rPr>
        <w:t>个科室</w:t>
      </w:r>
      <w:r>
        <w:rPr>
          <w:rFonts w:ascii="仿宋_GB2312" w:hAnsi="仿宋" w:eastAsia="仿宋_GB2312"/>
          <w:sz w:val="32"/>
          <w:szCs w:val="32"/>
        </w:rPr>
        <w:t>，</w:t>
      </w:r>
      <w:r>
        <w:rPr>
          <w:rFonts w:hint="eastAsia" w:ascii="仿宋_GB2312" w:hAnsi="仿宋" w:eastAsia="仿宋_GB2312"/>
          <w:sz w:val="32"/>
          <w:szCs w:val="32"/>
        </w:rPr>
        <w:t>包括</w:t>
      </w:r>
      <w:r>
        <w:rPr>
          <w:rFonts w:ascii="仿宋_GB2312" w:hAnsi="仿宋" w:eastAsia="仿宋_GB2312"/>
          <w:sz w:val="32"/>
          <w:szCs w:val="32"/>
        </w:rPr>
        <w:t>：</w:t>
      </w:r>
      <w:r>
        <w:rPr>
          <w:rFonts w:hint="eastAsia" w:ascii="仿宋_GB2312" w:hAnsi="仿宋" w:eastAsia="仿宋_GB2312"/>
          <w:sz w:val="32"/>
          <w:szCs w:val="32"/>
        </w:rPr>
        <w:t>综合科、应用推广科、公共服务科、网络管理科、会计服务科</w:t>
      </w:r>
      <w:r>
        <w:rPr>
          <w:rFonts w:hint="eastAsia" w:ascii="黑体" w:hAnsi="黑体" w:eastAsia="黑体"/>
          <w:sz w:val="32"/>
          <w:szCs w:val="32"/>
        </w:rPr>
        <w:t>。</w:t>
      </w:r>
      <w:r>
        <w:rPr>
          <w:rFonts w:hint="eastAsia" w:ascii="仿宋_GB2312" w:hAnsi="仿?_GB2312" w:eastAsia="仿宋_GB2312" w:cs="仿宋_GB2312"/>
          <w:sz w:val="32"/>
          <w:szCs w:val="32"/>
        </w:rPr>
        <w:t>人员编制数</w:t>
      </w:r>
      <w:r>
        <w:rPr>
          <w:rFonts w:ascii="仿宋_GB2312" w:hAnsi="仿?_GB2312" w:eastAsia="仿宋_GB2312" w:cs="仿宋_GB2312"/>
          <w:sz w:val="32"/>
          <w:szCs w:val="32"/>
        </w:rPr>
        <w:t>27</w:t>
      </w:r>
      <w:r>
        <w:rPr>
          <w:rFonts w:hint="eastAsia" w:ascii="仿宋_GB2312" w:hAnsi="仿?_GB2312" w:eastAsia="仿宋_GB2312" w:cs="仿宋_GB2312"/>
          <w:sz w:val="32"/>
          <w:szCs w:val="32"/>
        </w:rPr>
        <w:t>人，在职人数</w:t>
      </w:r>
      <w:r>
        <w:rPr>
          <w:rFonts w:ascii="仿宋_GB2312" w:hAnsi="仿?_GB2312" w:eastAsia="仿宋_GB2312" w:cs="仿宋_GB2312"/>
          <w:sz w:val="32"/>
          <w:szCs w:val="32"/>
        </w:rPr>
        <w:t>2</w:t>
      </w:r>
      <w:r>
        <w:rPr>
          <w:rFonts w:hint="eastAsia" w:ascii="仿宋_GB2312" w:hAnsi="仿?_GB2312" w:eastAsia="仿宋_GB2312" w:cs="仿宋_GB2312"/>
          <w:sz w:val="32"/>
          <w:szCs w:val="32"/>
        </w:rPr>
        <w:t>1人。</w:t>
      </w:r>
    </w:p>
    <w:p w14:paraId="7239FCC6">
      <w:pPr>
        <w:tabs>
          <w:tab w:val="left" w:pos="7513"/>
        </w:tabs>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三、单位主要工作任务</w:t>
      </w:r>
    </w:p>
    <w:p w14:paraId="30EFA9D0">
      <w:pPr>
        <w:spacing w:line="555" w:lineRule="exact"/>
        <w:ind w:firstLine="640" w:firstLineChars="200"/>
        <w:rPr>
          <w:rFonts w:ascii="仿?_GB2312" w:hAnsi="仿?_GB2312" w:eastAsia="仿宋_GB2312" w:cs="仿?_GB2312"/>
          <w:color w:val="000000"/>
          <w:sz w:val="32"/>
          <w:szCs w:val="32"/>
        </w:rPr>
      </w:pPr>
      <w:r>
        <w:rPr>
          <w:rFonts w:hint="eastAsia" w:ascii="仿宋_GB2312" w:hAnsi="仿宋" w:eastAsia="仿宋_GB2312" w:cs="仿宋_GB2312"/>
          <w:sz w:val="32"/>
          <w:szCs w:val="32"/>
        </w:rPr>
        <w:t>2024年</w:t>
      </w:r>
      <w:r>
        <w:rPr>
          <w:rFonts w:hint="eastAsia" w:ascii="仿宋_GB2312" w:hAnsi="仿宋" w:eastAsia="仿宋_GB2312"/>
          <w:sz w:val="32"/>
          <w:szCs w:val="32"/>
        </w:rPr>
        <w:t>，</w:t>
      </w:r>
      <w:r>
        <w:rPr>
          <w:rFonts w:hint="eastAsia" w:ascii="仿宋_GB2312" w:hAnsi="仿?_GB2312" w:eastAsia="仿宋_GB2312" w:cs="仿宋_GB2312"/>
          <w:color w:val="000000"/>
          <w:sz w:val="32"/>
          <w:szCs w:val="32"/>
        </w:rPr>
        <w:t>厦门市财政信息中心主要任务是：</w:t>
      </w:r>
      <w:r>
        <w:rPr>
          <w:rFonts w:hint="eastAsia" w:ascii="仿宋" w:hAnsi="仿宋" w:eastAsia="仿宋" w:cs="仿宋_GB2312"/>
          <w:color w:val="000000"/>
          <w:sz w:val="32"/>
          <w:szCs w:val="32"/>
        </w:rPr>
        <w:t>坚持以习近平新时代中国特色社会主义思想为指导，认真学习贯彻党的二十大精神，落实市委、市政府、局党组对财政工作相关要求，持续优化完善智慧财政系统和加强网络安全建设，做好会计服务工作</w:t>
      </w:r>
      <w:r>
        <w:rPr>
          <w:rFonts w:hint="eastAsia" w:ascii="仿宋_GB2312" w:hAnsi="仿?_GB2312" w:eastAsia="仿宋_GB2312" w:cs="仿宋_GB2312"/>
          <w:color w:val="000000"/>
          <w:sz w:val="32"/>
          <w:szCs w:val="32"/>
        </w:rPr>
        <w:t>。围绕上述任务，重点抓好以下工作：</w:t>
      </w:r>
    </w:p>
    <w:p w14:paraId="23011619">
      <w:pPr>
        <w:pStyle w:val="6"/>
        <w:spacing w:before="0" w:beforeAutospacing="0" w:after="0" w:afterAutospacing="0" w:line="560" w:lineRule="exact"/>
        <w:ind w:firstLine="640" w:firstLineChars="200"/>
        <w:rPr>
          <w:rFonts w:ascii="楷体_GB2312" w:hAnsi="楷体" w:eastAsia="楷体_GB2312" w:cstheme="minorBidi"/>
          <w:bCs/>
          <w:color w:val="auto"/>
          <w:kern w:val="2"/>
          <w:sz w:val="32"/>
          <w:szCs w:val="32"/>
        </w:rPr>
      </w:pPr>
      <w:r>
        <w:rPr>
          <w:rFonts w:hint="eastAsia" w:ascii="楷体_GB2312" w:hAnsi="楷体" w:eastAsia="楷体_GB2312" w:cstheme="minorBidi"/>
          <w:bCs/>
          <w:color w:val="auto"/>
          <w:kern w:val="2"/>
          <w:sz w:val="32"/>
          <w:szCs w:val="32"/>
        </w:rPr>
        <w:t>（一）持续优化完善智慧财政系统</w:t>
      </w:r>
    </w:p>
    <w:p w14:paraId="2C27ABAF">
      <w:pPr>
        <w:spacing w:line="560" w:lineRule="exact"/>
        <w:ind w:firstLine="640" w:firstLineChars="200"/>
        <w:textAlignment w:val="baseline"/>
        <w:rPr>
          <w:rFonts w:ascii="仿宋_GB2312" w:eastAsia="仿宋_GB2312"/>
          <w:bCs/>
          <w:sz w:val="32"/>
          <w:szCs w:val="32"/>
        </w:rPr>
      </w:pPr>
      <w:r>
        <w:rPr>
          <w:rFonts w:hint="eastAsia" w:ascii="仿宋_GB2312" w:eastAsia="仿宋_GB2312"/>
          <w:bCs/>
          <w:sz w:val="32"/>
          <w:szCs w:val="32"/>
        </w:rPr>
        <w:t>1.按照财政部业务规范2.0和技术标准2</w:t>
      </w:r>
      <w:r>
        <w:rPr>
          <w:rFonts w:ascii="仿宋_GB2312" w:eastAsia="仿宋_GB2312"/>
          <w:bCs/>
          <w:sz w:val="32"/>
          <w:szCs w:val="32"/>
        </w:rPr>
        <w:t>.0</w:t>
      </w:r>
      <w:r>
        <w:rPr>
          <w:rFonts w:hint="eastAsia" w:ascii="仿宋_GB2312" w:eastAsia="仿宋_GB2312"/>
          <w:bCs/>
          <w:sz w:val="32"/>
          <w:szCs w:val="32"/>
        </w:rPr>
        <w:t>等要求，继续推进预算管理一体化系统对标升级。</w:t>
      </w:r>
    </w:p>
    <w:p w14:paraId="7CFE0D4D">
      <w:pPr>
        <w:spacing w:line="560" w:lineRule="exact"/>
        <w:ind w:firstLine="640" w:firstLineChars="200"/>
        <w:textAlignment w:val="baseline"/>
        <w:rPr>
          <w:rFonts w:ascii="仿宋_GB2312" w:hAnsi="Arial" w:eastAsia="仿宋_GB2312" w:cs="Arial"/>
          <w:bCs/>
          <w:kern w:val="0"/>
          <w:sz w:val="32"/>
          <w:szCs w:val="32"/>
        </w:rPr>
      </w:pPr>
      <w:r>
        <w:rPr>
          <w:rFonts w:hint="eastAsia" w:ascii="仿宋_GB2312" w:hAnsi="Arial" w:eastAsia="仿宋_GB2312" w:cs="Arial"/>
          <w:bCs/>
          <w:kern w:val="0"/>
          <w:sz w:val="32"/>
          <w:szCs w:val="32"/>
        </w:rPr>
        <w:t>2.推进</w:t>
      </w:r>
      <w:r>
        <w:rPr>
          <w:rFonts w:hint="eastAsia" w:ascii="仿宋_GB2312" w:hAnsi="Arial" w:eastAsia="仿宋_GB2312" w:cs="Arial"/>
          <w:bCs/>
          <w:kern w:val="0"/>
          <w:sz w:val="32"/>
          <w:szCs w:val="32"/>
          <w:lang w:val="en-US" w:eastAsia="zh-CN"/>
        </w:rPr>
        <w:t>财政大数据</w:t>
      </w:r>
      <w:r>
        <w:rPr>
          <w:rFonts w:hint="eastAsia" w:ascii="仿宋_GB2312" w:hAnsi="Arial" w:eastAsia="仿宋_GB2312" w:cs="Arial"/>
          <w:bCs/>
          <w:kern w:val="0"/>
          <w:sz w:val="32"/>
          <w:szCs w:val="32"/>
        </w:rPr>
        <w:t>应用。</w:t>
      </w:r>
    </w:p>
    <w:p w14:paraId="488E55D3">
      <w:pPr>
        <w:spacing w:line="540" w:lineRule="exact"/>
        <w:ind w:firstLine="640" w:firstLineChars="200"/>
        <w:textAlignment w:val="baseline"/>
        <w:rPr>
          <w:rFonts w:ascii="仿宋_GB2312" w:eastAsia="仿宋_GB2312"/>
          <w:bCs/>
          <w:sz w:val="32"/>
          <w:szCs w:val="32"/>
        </w:rPr>
      </w:pPr>
      <w:r>
        <w:rPr>
          <w:rFonts w:hint="eastAsia" w:ascii="仿宋_GB2312" w:eastAsia="仿宋_GB2312"/>
          <w:bCs/>
          <w:sz w:val="32"/>
          <w:szCs w:val="32"/>
        </w:rPr>
        <w:t>3.构建市区分级运维体系。</w:t>
      </w:r>
    </w:p>
    <w:p w14:paraId="29AA6E01">
      <w:pPr>
        <w:spacing w:line="540" w:lineRule="exact"/>
        <w:ind w:firstLine="640" w:firstLineChars="200"/>
        <w:textAlignment w:val="baseline"/>
        <w:rPr>
          <w:rFonts w:ascii="仿宋_GB2312" w:eastAsia="仿宋_GB2312"/>
          <w:bCs/>
          <w:sz w:val="32"/>
          <w:szCs w:val="32"/>
        </w:rPr>
      </w:pPr>
      <w:r>
        <w:rPr>
          <w:rFonts w:hint="eastAsia" w:ascii="仿宋_GB2312" w:hAnsi="Arial" w:eastAsia="仿宋_GB2312" w:cs="Arial"/>
          <w:bCs/>
          <w:kern w:val="0"/>
          <w:sz w:val="32"/>
          <w:szCs w:val="32"/>
        </w:rPr>
        <w:t>4.配合处室持续做好业务规范管理</w:t>
      </w:r>
      <w:r>
        <w:rPr>
          <w:rFonts w:ascii="仿宋_GB2312" w:eastAsia="仿宋_GB2312"/>
          <w:bCs/>
          <w:sz w:val="32"/>
          <w:szCs w:val="32"/>
        </w:rPr>
        <w:t>。</w:t>
      </w:r>
    </w:p>
    <w:p w14:paraId="753E9C0F">
      <w:pPr>
        <w:spacing w:line="540" w:lineRule="exact"/>
        <w:ind w:firstLine="640" w:firstLineChars="200"/>
        <w:textAlignment w:val="baseline"/>
        <w:rPr>
          <w:rFonts w:ascii="仿宋_GB2312" w:eastAsia="仿宋_GB2312"/>
          <w:bCs/>
          <w:sz w:val="32"/>
          <w:szCs w:val="32"/>
        </w:rPr>
      </w:pPr>
      <w:r>
        <w:rPr>
          <w:rFonts w:hint="eastAsia" w:ascii="仿宋_GB2312" w:eastAsia="仿宋_GB2312"/>
          <w:bCs/>
          <w:sz w:val="32"/>
          <w:szCs w:val="32"/>
        </w:rPr>
        <w:t>5.规范数据资源目录编制和数据汇聚。</w:t>
      </w:r>
    </w:p>
    <w:p w14:paraId="2E4C26DD">
      <w:pPr>
        <w:spacing w:line="540" w:lineRule="exact"/>
        <w:ind w:firstLine="640" w:firstLineChars="200"/>
        <w:textAlignment w:val="baseline"/>
        <w:rPr>
          <w:rFonts w:ascii="楷体_GB2312" w:hAnsi="楷体" w:eastAsia="楷体_GB2312" w:cstheme="minorBidi"/>
          <w:bCs/>
          <w:sz w:val="32"/>
          <w:szCs w:val="32"/>
        </w:rPr>
      </w:pPr>
      <w:r>
        <w:rPr>
          <w:rFonts w:hint="eastAsia" w:ascii="楷体_GB2312" w:hAnsi="楷体" w:eastAsia="楷体_GB2312" w:cstheme="minorBidi"/>
          <w:bCs/>
          <w:sz w:val="32"/>
          <w:szCs w:val="32"/>
        </w:rPr>
        <w:t>（二）进一步提升非税业务服务水平</w:t>
      </w:r>
    </w:p>
    <w:p w14:paraId="43B3E350">
      <w:pPr>
        <w:pStyle w:val="6"/>
        <w:spacing w:before="0" w:beforeAutospacing="0" w:after="0" w:afterAutospacing="0" w:line="560" w:lineRule="exact"/>
        <w:ind w:firstLine="640" w:firstLineChars="200"/>
        <w:rPr>
          <w:rFonts w:ascii="楷体_GB2312" w:hAnsi="楷体" w:eastAsia="楷体_GB2312" w:cstheme="minorBidi"/>
          <w:bCs/>
          <w:color w:val="auto"/>
          <w:kern w:val="2"/>
          <w:sz w:val="32"/>
          <w:szCs w:val="32"/>
        </w:rPr>
      </w:pPr>
      <w:r>
        <w:rPr>
          <w:rFonts w:hint="eastAsia" w:ascii="楷体_GB2312" w:hAnsi="楷体" w:eastAsia="楷体_GB2312" w:cstheme="minorBidi"/>
          <w:bCs/>
          <w:color w:val="auto"/>
          <w:kern w:val="2"/>
          <w:sz w:val="32"/>
          <w:szCs w:val="32"/>
        </w:rPr>
        <w:t>（三）建设“一站式服务”产业扶持系统</w:t>
      </w:r>
    </w:p>
    <w:p w14:paraId="139370CA">
      <w:pPr>
        <w:pStyle w:val="6"/>
        <w:spacing w:before="0" w:beforeAutospacing="0" w:after="0" w:afterAutospacing="0" w:line="560" w:lineRule="exact"/>
        <w:ind w:firstLine="640" w:firstLineChars="200"/>
        <w:rPr>
          <w:rFonts w:ascii="楷体_GB2312" w:hAnsi="楷体" w:eastAsia="楷体_GB2312" w:cstheme="minorBidi"/>
          <w:bCs/>
          <w:color w:val="auto"/>
          <w:kern w:val="2"/>
          <w:sz w:val="32"/>
          <w:szCs w:val="32"/>
        </w:rPr>
      </w:pPr>
      <w:r>
        <w:rPr>
          <w:rFonts w:hint="eastAsia" w:ascii="楷体_GB2312" w:hAnsi="楷体" w:eastAsia="楷体_GB2312" w:cstheme="minorBidi"/>
          <w:bCs/>
          <w:color w:val="auto"/>
          <w:kern w:val="2"/>
          <w:sz w:val="32"/>
          <w:szCs w:val="32"/>
        </w:rPr>
        <w:t>（四）不断筑牢网络安全防护体系</w:t>
      </w:r>
    </w:p>
    <w:p w14:paraId="31F42EA5">
      <w:pPr>
        <w:tabs>
          <w:tab w:val="left" w:pos="7513"/>
        </w:tabs>
        <w:adjustRightInd w:val="0"/>
        <w:snapToGrid w:val="0"/>
        <w:spacing w:line="560" w:lineRule="exact"/>
        <w:jc w:val="center"/>
        <w:rPr>
          <w:rFonts w:ascii="黑体" w:hAnsi="黑体" w:eastAsia="黑体"/>
          <w:sz w:val="32"/>
          <w:szCs w:val="32"/>
        </w:rPr>
      </w:pPr>
    </w:p>
    <w:p w14:paraId="222711F6">
      <w:pPr>
        <w:tabs>
          <w:tab w:val="left" w:pos="7513"/>
        </w:tabs>
        <w:adjustRightInd w:val="0"/>
        <w:snapToGrid w:val="0"/>
        <w:spacing w:line="560" w:lineRule="exact"/>
        <w:jc w:val="center"/>
        <w:rPr>
          <w:rFonts w:ascii="仿宋_GB2312" w:hAnsi="仿宋" w:eastAsia="仿宋_GB2312" w:cs="仿宋_GB2312"/>
          <w:sz w:val="32"/>
          <w:szCs w:val="32"/>
        </w:rPr>
      </w:pPr>
      <w:r>
        <w:rPr>
          <w:rFonts w:hint="eastAsia" w:ascii="黑体" w:hAnsi="黑体" w:eastAsia="黑体"/>
          <w:sz w:val="32"/>
          <w:szCs w:val="32"/>
        </w:rPr>
        <w:t>第二部分  2024年单位预算说明</w:t>
      </w:r>
    </w:p>
    <w:p w14:paraId="675CEF69">
      <w:pPr>
        <w:tabs>
          <w:tab w:val="left" w:pos="7513"/>
        </w:tabs>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一、2024年单位预算收支总体情况</w:t>
      </w:r>
    </w:p>
    <w:p w14:paraId="4D996AFF">
      <w:pPr>
        <w:tabs>
          <w:tab w:val="left" w:pos="7513"/>
        </w:tabs>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根据预算管理的有关规定，单位的全部收入和支出均纳入部门预算管理。</w:t>
      </w:r>
    </w:p>
    <w:p w14:paraId="44A98268">
      <w:pPr>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sz w:val="32"/>
          <w:szCs w:val="32"/>
        </w:rPr>
        <w:t>（一）</w:t>
      </w:r>
      <w:r>
        <w:rPr>
          <w:rFonts w:hint="eastAsia" w:ascii="仿宋_GB2312" w:hAnsi="仿?_GB2312" w:eastAsia="仿宋_GB2312" w:cs="仿宋_GB2312"/>
          <w:sz w:val="32"/>
          <w:szCs w:val="32"/>
        </w:rPr>
        <w:t>厦门市财政信息中心</w:t>
      </w:r>
      <w:r>
        <w:rPr>
          <w:rFonts w:hint="eastAsia" w:ascii="仿宋_GB2312" w:hAnsi="仿宋" w:eastAsia="仿宋_GB2312"/>
          <w:sz w:val="32"/>
          <w:szCs w:val="32"/>
        </w:rPr>
        <w:t>2024年收入预算为</w:t>
      </w:r>
      <w:r>
        <w:rPr>
          <w:rFonts w:hint="eastAsia" w:ascii="仿宋_GB2312" w:hAnsi="仿宋" w:eastAsia="仿宋_GB2312" w:cs="仿宋_GB2312"/>
          <w:sz w:val="32"/>
          <w:szCs w:val="32"/>
        </w:rPr>
        <w:t>6290.36</w:t>
      </w:r>
      <w:r>
        <w:rPr>
          <w:rFonts w:hint="eastAsia" w:ascii="仿宋_GB2312" w:hAnsi="仿宋" w:eastAsia="仿宋_GB2312"/>
          <w:sz w:val="32"/>
          <w:szCs w:val="32"/>
        </w:rPr>
        <w:t>万元，</w:t>
      </w:r>
      <w:r>
        <w:rPr>
          <w:rFonts w:hint="eastAsia" w:ascii="仿宋_GB2312" w:hAnsi="仿宋" w:eastAsia="仿宋_GB2312" w:cs="仿宋_GB2312"/>
          <w:sz w:val="32"/>
          <w:szCs w:val="32"/>
        </w:rPr>
        <w:t>比2023年预算数减少</w:t>
      </w:r>
      <w:r>
        <w:rPr>
          <w:rFonts w:hint="eastAsia" w:ascii="仿宋_GB2312" w:hAnsi="仿?_GB2312" w:eastAsia="仿宋_GB2312" w:cs="仿宋_GB2312"/>
          <w:color w:val="000000"/>
          <w:sz w:val="32"/>
          <w:szCs w:val="32"/>
          <w:lang w:val="en-US" w:eastAsia="zh-CN"/>
        </w:rPr>
        <w:t>1590.87</w:t>
      </w:r>
      <w:r>
        <w:rPr>
          <w:rFonts w:hint="eastAsia" w:ascii="仿宋_GB2312" w:hAnsi="仿宋" w:eastAsia="仿宋_GB2312" w:cs="仿宋_GB2312"/>
          <w:sz w:val="32"/>
          <w:szCs w:val="32"/>
        </w:rPr>
        <w:t>万元，下降20.19％</w:t>
      </w:r>
      <w:r>
        <w:rPr>
          <w:rFonts w:hint="eastAsia" w:ascii="仿宋_GB2312" w:eastAsia="仿宋_GB2312"/>
          <w:sz w:val="32"/>
          <w:szCs w:val="32"/>
        </w:rPr>
        <w:t>，</w:t>
      </w:r>
      <w:r>
        <w:rPr>
          <w:rFonts w:hint="eastAsia" w:ascii="仿宋_GB2312" w:hAnsi="仿宋" w:eastAsia="仿宋_GB2312" w:cs="仿宋_GB2312"/>
          <w:sz w:val="32"/>
          <w:szCs w:val="32"/>
        </w:rPr>
        <w:t>具体情况如下：</w:t>
      </w:r>
    </w:p>
    <w:p w14:paraId="3D73C78C">
      <w:pPr>
        <w:tabs>
          <w:tab w:val="left" w:pos="7513"/>
        </w:tabs>
        <w:adjustRightInd w:val="0"/>
        <w:snapToGrid w:val="0"/>
        <w:spacing w:line="560" w:lineRule="exact"/>
        <w:ind w:firstLine="640" w:firstLineChars="200"/>
        <w:rPr>
          <w:rFonts w:ascii="仿宋_GB2312" w:hAnsi="仿宋" w:eastAsia="仿宋_GB2312"/>
          <w:color w:val="000000" w:themeColor="text1"/>
          <w:sz w:val="32"/>
          <w:szCs w:val="32"/>
        </w:rPr>
      </w:pPr>
      <w:r>
        <w:rPr>
          <w:rFonts w:hint="eastAsia" w:ascii="仿宋_GB2312" w:hAnsi="仿宋" w:eastAsia="仿宋_GB2312"/>
          <w:sz w:val="32"/>
          <w:szCs w:val="32"/>
        </w:rPr>
        <w:t>1.</w:t>
      </w:r>
      <w:r>
        <w:rPr>
          <w:rFonts w:hint="eastAsia" w:ascii="仿宋_GB2312" w:hAnsi="仿宋" w:eastAsia="仿宋_GB2312" w:cs="仿宋_GB2312"/>
          <w:sz w:val="32"/>
          <w:szCs w:val="32"/>
        </w:rPr>
        <w:t>财政拨款收入6290.36万元，其中</w:t>
      </w:r>
      <w:r>
        <w:rPr>
          <w:rFonts w:hint="eastAsia" w:ascii="仿宋_GB2312" w:hAnsi="仿宋" w:eastAsia="仿宋_GB2312"/>
          <w:sz w:val="32"/>
          <w:szCs w:val="32"/>
        </w:rPr>
        <w:t>一般公共预算拨款收入</w:t>
      </w:r>
      <w:r>
        <w:rPr>
          <w:rFonts w:hint="eastAsia" w:ascii="仿宋_GB2312" w:hAnsi="仿宋" w:eastAsia="仿宋_GB2312" w:cs="仿宋_GB2312"/>
          <w:sz w:val="32"/>
          <w:szCs w:val="32"/>
        </w:rPr>
        <w:t>6290.36</w:t>
      </w:r>
      <w:r>
        <w:rPr>
          <w:rFonts w:hint="eastAsia" w:ascii="仿宋_GB2312" w:hAnsi="仿宋" w:eastAsia="仿宋_GB2312"/>
          <w:sz w:val="32"/>
          <w:szCs w:val="32"/>
        </w:rPr>
        <w:t>万元，政府性基金拨款收入0万元，国有资本经营预算拨款收入0万元；</w:t>
      </w:r>
      <w:r>
        <w:rPr>
          <w:rFonts w:hint="eastAsia" w:ascii="仿宋_GB2312" w:hAnsi="仿宋" w:eastAsia="仿宋_GB2312"/>
          <w:color w:val="000000" w:themeColor="text1"/>
          <w:sz w:val="32"/>
          <w:szCs w:val="32"/>
        </w:rPr>
        <w:t xml:space="preserve"> </w:t>
      </w:r>
    </w:p>
    <w:p w14:paraId="43062534">
      <w:pPr>
        <w:tabs>
          <w:tab w:val="left" w:pos="7513"/>
        </w:tabs>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2.财政专户管理资金收入</w:t>
      </w:r>
      <w:r>
        <w:rPr>
          <w:rFonts w:hint="eastAsia" w:ascii="仿宋_GB2312" w:hAnsi="仿宋" w:eastAsia="仿宋_GB2312" w:cs="仿宋_GB2312"/>
          <w:sz w:val="32"/>
          <w:szCs w:val="32"/>
        </w:rPr>
        <w:t>0</w:t>
      </w:r>
      <w:r>
        <w:rPr>
          <w:rFonts w:hint="eastAsia" w:ascii="仿宋_GB2312" w:hAnsi="仿宋" w:eastAsia="仿宋_GB2312"/>
          <w:sz w:val="32"/>
          <w:szCs w:val="32"/>
        </w:rPr>
        <w:t>万元；</w:t>
      </w:r>
    </w:p>
    <w:p w14:paraId="7CF7DAFD">
      <w:pPr>
        <w:tabs>
          <w:tab w:val="left" w:pos="7513"/>
        </w:tabs>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3.事业收入</w:t>
      </w:r>
      <w:r>
        <w:rPr>
          <w:rFonts w:hint="eastAsia" w:ascii="仿宋_GB2312" w:hAnsi="仿宋" w:eastAsia="仿宋_GB2312" w:cs="仿宋_GB2312"/>
          <w:sz w:val="32"/>
          <w:szCs w:val="32"/>
        </w:rPr>
        <w:t>0</w:t>
      </w:r>
      <w:r>
        <w:rPr>
          <w:rFonts w:hint="eastAsia" w:ascii="仿宋_GB2312" w:hAnsi="仿宋" w:eastAsia="仿宋_GB2312"/>
          <w:sz w:val="32"/>
          <w:szCs w:val="32"/>
        </w:rPr>
        <w:t>万元；</w:t>
      </w:r>
    </w:p>
    <w:p w14:paraId="33E8FDAC">
      <w:pPr>
        <w:tabs>
          <w:tab w:val="left" w:pos="7513"/>
        </w:tabs>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4.事业单位经营收入0万元；</w:t>
      </w:r>
    </w:p>
    <w:p w14:paraId="5AAF94B8">
      <w:pPr>
        <w:tabs>
          <w:tab w:val="left" w:pos="7513"/>
        </w:tabs>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5.上级补助收入0万元；</w:t>
      </w:r>
    </w:p>
    <w:p w14:paraId="634461BB">
      <w:pPr>
        <w:tabs>
          <w:tab w:val="left" w:pos="7513"/>
        </w:tabs>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6.附属单位上缴收入0万元；</w:t>
      </w:r>
    </w:p>
    <w:p w14:paraId="24A92165">
      <w:pPr>
        <w:tabs>
          <w:tab w:val="left" w:pos="7513"/>
        </w:tabs>
        <w:adjustRightInd w:val="0"/>
        <w:snapToGrid w:val="0"/>
        <w:spacing w:line="560" w:lineRule="exact"/>
        <w:ind w:firstLine="640" w:firstLineChars="200"/>
        <w:rPr>
          <w:rFonts w:ascii="仿宋_GB2312" w:hAnsi="仿宋" w:eastAsia="仿宋_GB2312"/>
          <w:sz w:val="32"/>
          <w:szCs w:val="32"/>
        </w:rPr>
      </w:pPr>
      <w:r>
        <w:rPr>
          <w:rFonts w:ascii="仿宋_GB2312" w:hAnsi="仿宋" w:eastAsia="仿宋_GB2312"/>
          <w:sz w:val="32"/>
          <w:szCs w:val="32"/>
        </w:rPr>
        <w:t>7</w:t>
      </w:r>
      <w:r>
        <w:rPr>
          <w:rFonts w:hint="eastAsia" w:ascii="仿宋_GB2312" w:hAnsi="仿宋" w:eastAsia="仿宋_GB2312"/>
          <w:sz w:val="32"/>
          <w:szCs w:val="32"/>
        </w:rPr>
        <w:t>.其他收入0万元；</w:t>
      </w:r>
    </w:p>
    <w:p w14:paraId="6EFC3811">
      <w:pPr>
        <w:tabs>
          <w:tab w:val="left" w:pos="7513"/>
        </w:tabs>
        <w:adjustRightInd w:val="0"/>
        <w:snapToGrid w:val="0"/>
        <w:spacing w:line="560" w:lineRule="exact"/>
        <w:ind w:firstLine="640" w:firstLineChars="200"/>
        <w:rPr>
          <w:rFonts w:ascii="仿宋_GB2312" w:hAnsi="仿宋" w:eastAsia="仿宋_GB2312"/>
          <w:sz w:val="32"/>
          <w:szCs w:val="32"/>
        </w:rPr>
      </w:pPr>
      <w:r>
        <w:rPr>
          <w:rFonts w:ascii="仿宋_GB2312" w:hAnsi="仿宋" w:eastAsia="仿宋_GB2312"/>
          <w:sz w:val="32"/>
          <w:szCs w:val="32"/>
        </w:rPr>
        <w:t>8</w:t>
      </w:r>
      <w:r>
        <w:rPr>
          <w:rFonts w:hint="eastAsia" w:ascii="仿宋_GB2312" w:hAnsi="仿宋" w:eastAsia="仿宋_GB2312"/>
          <w:sz w:val="32"/>
          <w:szCs w:val="32"/>
        </w:rPr>
        <w:t>.上年</w:t>
      </w:r>
      <w:r>
        <w:rPr>
          <w:rFonts w:ascii="仿宋_GB2312" w:hAnsi="仿宋" w:eastAsia="仿宋_GB2312"/>
          <w:sz w:val="32"/>
          <w:szCs w:val="32"/>
        </w:rPr>
        <w:t>结转</w:t>
      </w:r>
      <w:r>
        <w:rPr>
          <w:rFonts w:hint="eastAsia" w:ascii="仿宋_GB2312" w:hAnsi="仿宋" w:eastAsia="仿宋_GB2312"/>
          <w:sz w:val="32"/>
          <w:szCs w:val="32"/>
        </w:rPr>
        <w:t>结余</w:t>
      </w:r>
      <w:r>
        <w:rPr>
          <w:rFonts w:hint="eastAsia" w:ascii="仿宋_GB2312" w:hAnsi="仿宋" w:eastAsia="仿宋_GB2312" w:cs="仿宋_GB2312"/>
          <w:sz w:val="32"/>
          <w:szCs w:val="32"/>
        </w:rPr>
        <w:t>0</w:t>
      </w:r>
      <w:r>
        <w:rPr>
          <w:rFonts w:hint="eastAsia" w:ascii="仿宋_GB2312" w:hAnsi="仿宋" w:eastAsia="仿宋_GB2312"/>
          <w:sz w:val="32"/>
          <w:szCs w:val="32"/>
        </w:rPr>
        <w:t>万元。</w:t>
      </w:r>
    </w:p>
    <w:p w14:paraId="055B9B04">
      <w:pPr>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sz w:val="32"/>
          <w:szCs w:val="32"/>
        </w:rPr>
        <w:t>（二）</w:t>
      </w:r>
      <w:r>
        <w:rPr>
          <w:rFonts w:hint="eastAsia" w:ascii="仿宋_GB2312" w:hAnsi="Times New Roman" w:eastAsia="仿宋_GB2312" w:cs="仿宋_GB2312"/>
          <w:color w:val="000000"/>
          <w:sz w:val="32"/>
          <w:szCs w:val="32"/>
        </w:rPr>
        <w:t>厦门市财政信息中心</w:t>
      </w:r>
      <w:r>
        <w:rPr>
          <w:rFonts w:hint="eastAsia" w:ascii="仿宋_GB2312" w:hAnsi="仿宋" w:eastAsia="仿宋_GB2312" w:cs="仿宋_GB2312"/>
          <w:sz w:val="32"/>
          <w:szCs w:val="32"/>
        </w:rPr>
        <w:t>单位</w:t>
      </w:r>
      <w:r>
        <w:rPr>
          <w:rFonts w:hint="eastAsia" w:ascii="仿宋_GB2312" w:hAnsi="仿宋" w:eastAsia="仿宋_GB2312"/>
          <w:sz w:val="32"/>
          <w:szCs w:val="32"/>
        </w:rPr>
        <w:t>2024年支出预算为</w:t>
      </w:r>
      <w:r>
        <w:rPr>
          <w:rFonts w:hint="eastAsia" w:ascii="仿宋_GB2312" w:hAnsi="仿宋" w:eastAsia="仿宋_GB2312" w:cs="仿宋_GB2312"/>
          <w:sz w:val="32"/>
          <w:szCs w:val="32"/>
        </w:rPr>
        <w:t>6290.36</w:t>
      </w:r>
      <w:r>
        <w:rPr>
          <w:rFonts w:hint="eastAsia" w:ascii="仿宋_GB2312" w:hAnsi="仿宋" w:eastAsia="仿宋_GB2312"/>
          <w:sz w:val="32"/>
          <w:szCs w:val="32"/>
        </w:rPr>
        <w:t>万元</w:t>
      </w:r>
      <w:r>
        <w:rPr>
          <w:rFonts w:hint="eastAsia" w:ascii="仿宋_GB2312" w:hAnsi="仿宋" w:eastAsia="仿宋_GB2312" w:cs="仿宋_GB2312"/>
          <w:color w:val="000000"/>
          <w:sz w:val="32"/>
          <w:szCs w:val="32"/>
        </w:rPr>
        <w:t>（</w:t>
      </w:r>
      <w:r>
        <w:rPr>
          <w:rFonts w:ascii="仿宋_GB2312" w:hAnsi="仿宋" w:eastAsia="仿宋_GB2312" w:cs="仿宋_GB2312"/>
          <w:color w:val="000000"/>
          <w:sz w:val="32"/>
          <w:szCs w:val="32"/>
        </w:rPr>
        <w:t>不含市对区转移支付</w:t>
      </w:r>
      <w:r>
        <w:rPr>
          <w:rFonts w:hint="eastAsia" w:ascii="仿宋_GB2312" w:hAnsi="仿宋" w:eastAsia="仿宋_GB2312" w:cs="仿宋_GB2312"/>
          <w:color w:val="000000"/>
          <w:sz w:val="32"/>
          <w:szCs w:val="32"/>
        </w:rPr>
        <w:t>项目</w:t>
      </w:r>
      <w:r>
        <w:rPr>
          <w:rFonts w:ascii="仿宋_GB2312" w:hAnsi="仿宋" w:eastAsia="仿宋_GB2312" w:cs="仿宋_GB2312"/>
          <w:color w:val="000000"/>
          <w:sz w:val="32"/>
          <w:szCs w:val="32"/>
        </w:rPr>
        <w:t>）</w:t>
      </w:r>
      <w:r>
        <w:rPr>
          <w:rFonts w:hint="eastAsia" w:ascii="仿宋_GB2312" w:hAnsi="仿宋" w:eastAsia="仿宋_GB2312"/>
          <w:sz w:val="32"/>
          <w:szCs w:val="32"/>
        </w:rPr>
        <w:t>，</w:t>
      </w:r>
      <w:r>
        <w:rPr>
          <w:rFonts w:hint="eastAsia" w:ascii="仿宋_GB2312" w:hAnsi="仿宋" w:eastAsia="仿宋_GB2312" w:cs="仿宋_GB2312"/>
          <w:sz w:val="32"/>
          <w:szCs w:val="32"/>
        </w:rPr>
        <w:t>比2023年预算数减少</w:t>
      </w:r>
      <w:r>
        <w:rPr>
          <w:rFonts w:hint="eastAsia" w:ascii="仿宋_GB2312" w:hAnsi="仿?_GB2312" w:eastAsia="仿宋_GB2312" w:cs="仿宋_GB2312"/>
          <w:color w:val="000000"/>
          <w:sz w:val="32"/>
          <w:szCs w:val="32"/>
          <w:lang w:val="en-US" w:eastAsia="zh-CN"/>
        </w:rPr>
        <w:t>1590.87</w:t>
      </w:r>
      <w:r>
        <w:rPr>
          <w:rFonts w:hint="eastAsia" w:ascii="仿宋_GB2312" w:hAnsi="仿宋" w:eastAsia="仿宋_GB2312" w:cs="仿宋_GB2312"/>
          <w:sz w:val="32"/>
          <w:szCs w:val="32"/>
        </w:rPr>
        <w:t>万元，下降20.19％</w:t>
      </w:r>
      <w:r>
        <w:rPr>
          <w:rFonts w:hint="eastAsia" w:ascii="仿宋_GB2312" w:eastAsia="仿宋_GB2312"/>
          <w:sz w:val="32"/>
          <w:szCs w:val="32"/>
        </w:rPr>
        <w:t>，</w:t>
      </w:r>
      <w:r>
        <w:rPr>
          <w:rFonts w:hint="eastAsia" w:ascii="仿宋_GB2312" w:hAnsi="仿宋" w:eastAsia="仿宋_GB2312" w:cs="仿宋_GB2312"/>
          <w:sz w:val="32"/>
          <w:szCs w:val="32"/>
        </w:rPr>
        <w:t>具体情况如下：</w:t>
      </w:r>
    </w:p>
    <w:p w14:paraId="419C65CB">
      <w:pPr>
        <w:tabs>
          <w:tab w:val="left" w:pos="7513"/>
        </w:tabs>
        <w:adjustRightInd w:val="0"/>
        <w:snapToGrid w:val="0"/>
        <w:spacing w:line="560" w:lineRule="exact"/>
        <w:ind w:firstLine="640" w:firstLineChars="200"/>
        <w:rPr>
          <w:rFonts w:ascii="仿宋_GB2312" w:hAnsi="仿宋" w:eastAsia="仿宋_GB2312"/>
          <w:color w:val="0000FF"/>
          <w:sz w:val="32"/>
          <w:szCs w:val="32"/>
        </w:rPr>
      </w:pPr>
      <w:r>
        <w:rPr>
          <w:rFonts w:hint="eastAsia" w:ascii="仿宋_GB2312" w:hAnsi="仿宋" w:eastAsia="仿宋_GB2312"/>
          <w:sz w:val="32"/>
          <w:szCs w:val="32"/>
        </w:rPr>
        <w:t>1.财政拨款基本支出</w:t>
      </w:r>
      <w:r>
        <w:rPr>
          <w:rFonts w:hint="eastAsia" w:ascii="仿宋_GB2312" w:hAnsi="仿宋" w:eastAsia="仿宋_GB2312" w:cs="仿宋_GB2312"/>
          <w:sz w:val="32"/>
          <w:szCs w:val="32"/>
        </w:rPr>
        <w:t>889.66</w:t>
      </w:r>
      <w:r>
        <w:rPr>
          <w:rFonts w:hint="eastAsia" w:ascii="仿宋_GB2312" w:hAnsi="仿宋" w:eastAsia="仿宋_GB2312"/>
          <w:sz w:val="32"/>
          <w:szCs w:val="32"/>
        </w:rPr>
        <w:t>万元，其中，人员支出</w:t>
      </w:r>
      <w:r>
        <w:rPr>
          <w:rFonts w:hint="eastAsia" w:ascii="仿宋_GB2312" w:hAnsi="仿宋" w:eastAsia="仿宋_GB2312" w:cs="仿宋_GB2312"/>
          <w:sz w:val="32"/>
          <w:szCs w:val="32"/>
        </w:rPr>
        <w:t>725.59</w:t>
      </w:r>
      <w:r>
        <w:rPr>
          <w:rFonts w:hint="eastAsia" w:ascii="仿宋_GB2312" w:hAnsi="仿宋" w:eastAsia="仿宋_GB2312"/>
          <w:sz w:val="32"/>
          <w:szCs w:val="32"/>
        </w:rPr>
        <w:t>万元，公用支出</w:t>
      </w:r>
      <w:r>
        <w:rPr>
          <w:rFonts w:hint="eastAsia" w:ascii="仿宋_GB2312" w:hAnsi="仿宋" w:eastAsia="仿宋_GB2312" w:cs="仿宋_GB2312"/>
          <w:sz w:val="32"/>
          <w:szCs w:val="32"/>
        </w:rPr>
        <w:t>164.07</w:t>
      </w:r>
      <w:r>
        <w:rPr>
          <w:rFonts w:hint="eastAsia" w:ascii="仿宋_GB2312" w:hAnsi="仿宋" w:eastAsia="仿宋_GB2312"/>
          <w:sz w:val="32"/>
          <w:szCs w:val="32"/>
        </w:rPr>
        <w:t>万元</w:t>
      </w:r>
      <w:r>
        <w:rPr>
          <w:rFonts w:hint="eastAsia" w:ascii="仿宋_GB2312" w:hAnsi="仿宋" w:eastAsia="仿宋_GB2312"/>
          <w:color w:val="0000FF"/>
          <w:sz w:val="32"/>
          <w:szCs w:val="32"/>
        </w:rPr>
        <w:t>；</w:t>
      </w:r>
    </w:p>
    <w:p w14:paraId="698CD6D4">
      <w:pPr>
        <w:tabs>
          <w:tab w:val="left" w:pos="7513"/>
        </w:tabs>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2.财政拨款项目支出</w:t>
      </w:r>
      <w:r>
        <w:rPr>
          <w:rFonts w:hint="eastAsia" w:ascii="仿宋_GB2312" w:hAnsi="仿宋" w:eastAsia="仿宋_GB2312" w:cs="仿宋_GB2312"/>
          <w:sz w:val="32"/>
          <w:szCs w:val="32"/>
        </w:rPr>
        <w:t>5400.70</w:t>
      </w:r>
      <w:r>
        <w:rPr>
          <w:rFonts w:hint="eastAsia" w:ascii="仿宋_GB2312" w:hAnsi="仿宋" w:eastAsia="仿宋_GB2312"/>
          <w:sz w:val="32"/>
          <w:szCs w:val="32"/>
        </w:rPr>
        <w:t>万元；</w:t>
      </w:r>
    </w:p>
    <w:p w14:paraId="704FA453">
      <w:pPr>
        <w:tabs>
          <w:tab w:val="left" w:pos="7513"/>
        </w:tabs>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3.非</w:t>
      </w:r>
      <w:r>
        <w:rPr>
          <w:rFonts w:ascii="仿宋_GB2312" w:hAnsi="仿宋" w:eastAsia="仿宋_GB2312"/>
          <w:sz w:val="32"/>
          <w:szCs w:val="32"/>
        </w:rPr>
        <w:t>财政拨款</w:t>
      </w:r>
      <w:r>
        <w:rPr>
          <w:rFonts w:hint="eastAsia" w:ascii="仿宋_GB2312" w:hAnsi="仿宋" w:eastAsia="仿宋_GB2312"/>
          <w:sz w:val="32"/>
          <w:szCs w:val="32"/>
        </w:rPr>
        <w:t>支出</w:t>
      </w:r>
      <w:r>
        <w:rPr>
          <w:rFonts w:hint="eastAsia" w:ascii="仿宋_GB2312" w:hAnsi="仿宋" w:eastAsia="仿宋_GB2312" w:cs="仿宋_GB2312"/>
          <w:sz w:val="32"/>
          <w:szCs w:val="32"/>
        </w:rPr>
        <w:t>0</w:t>
      </w:r>
      <w:r>
        <w:rPr>
          <w:rFonts w:hint="eastAsia" w:ascii="仿宋_GB2312" w:hAnsi="仿宋" w:eastAsia="仿宋_GB2312"/>
          <w:sz w:val="32"/>
          <w:szCs w:val="32"/>
        </w:rPr>
        <w:t>万元。</w:t>
      </w:r>
    </w:p>
    <w:p w14:paraId="7E296D5C">
      <w:pPr>
        <w:tabs>
          <w:tab w:val="left" w:pos="7513"/>
        </w:tabs>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（三）</w:t>
      </w:r>
      <w:r>
        <w:rPr>
          <w:rFonts w:hint="eastAsia" w:ascii="仿宋_GB2312" w:hAnsi="仿?_GB2312" w:eastAsia="仿宋_GB2312" w:cs="仿宋_GB2312"/>
          <w:sz w:val="32"/>
          <w:szCs w:val="32"/>
        </w:rPr>
        <w:t>厦门市财政信息中心</w:t>
      </w:r>
      <w:r>
        <w:rPr>
          <w:rFonts w:hint="eastAsia" w:ascii="仿宋_GB2312" w:hAnsi="仿宋" w:eastAsia="仿宋_GB2312"/>
          <w:sz w:val="32"/>
          <w:szCs w:val="32"/>
        </w:rPr>
        <w:t>2024年市对区转移</w:t>
      </w:r>
      <w:r>
        <w:rPr>
          <w:rFonts w:ascii="仿宋_GB2312" w:hAnsi="仿宋" w:eastAsia="仿宋_GB2312"/>
          <w:sz w:val="32"/>
          <w:szCs w:val="32"/>
        </w:rPr>
        <w:t>支付项目</w:t>
      </w:r>
      <w:r>
        <w:rPr>
          <w:rFonts w:hint="eastAsia" w:ascii="仿宋_GB2312" w:hAnsi="仿宋" w:eastAsia="仿宋_GB2312"/>
          <w:sz w:val="32"/>
          <w:szCs w:val="32"/>
        </w:rPr>
        <w:t>预算为0.00万元。</w:t>
      </w:r>
    </w:p>
    <w:p w14:paraId="36AB79DD">
      <w:pPr>
        <w:tabs>
          <w:tab w:val="left" w:pos="7513"/>
        </w:tabs>
        <w:adjustRightInd w:val="0"/>
        <w:snapToGrid w:val="0"/>
        <w:spacing w:line="560" w:lineRule="exact"/>
        <w:ind w:firstLine="640" w:firstLineChars="200"/>
        <w:rPr>
          <w:rFonts w:ascii="黑体" w:hAnsi="黑体" w:eastAsia="黑体" w:cs="仿宋_GB2312"/>
          <w:bCs/>
          <w:sz w:val="32"/>
          <w:szCs w:val="32"/>
        </w:rPr>
      </w:pPr>
      <w:r>
        <w:rPr>
          <w:rFonts w:hint="eastAsia" w:ascii="黑体" w:hAnsi="黑体" w:eastAsia="黑体" w:cs="仿宋_GB2312"/>
          <w:bCs/>
          <w:sz w:val="32"/>
          <w:szCs w:val="32"/>
        </w:rPr>
        <w:t>二、一般公共预算财政拨款支出预算情况</w:t>
      </w:r>
    </w:p>
    <w:p w14:paraId="36B35188">
      <w:pPr>
        <w:tabs>
          <w:tab w:val="left" w:pos="7513"/>
        </w:tabs>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cs="宋体"/>
          <w:bCs/>
          <w:sz w:val="32"/>
          <w:szCs w:val="32"/>
        </w:rPr>
        <w:t>2024年</w:t>
      </w:r>
      <w:r>
        <w:rPr>
          <w:rFonts w:hint="eastAsia" w:ascii="仿宋_GB2312" w:hAnsi="仿宋" w:eastAsia="仿宋_GB2312" w:cs="仿宋_GB2312"/>
          <w:sz w:val="32"/>
          <w:szCs w:val="32"/>
        </w:rPr>
        <w:t>度一般公共预算支出6290.36万元（</w:t>
      </w:r>
      <w:r>
        <w:rPr>
          <w:rFonts w:ascii="仿宋_GB2312" w:hAnsi="仿宋" w:eastAsia="仿宋_GB2312" w:cs="仿宋_GB2312"/>
          <w:sz w:val="32"/>
          <w:szCs w:val="32"/>
        </w:rPr>
        <w:t>不含市对区转移支付</w:t>
      </w:r>
      <w:r>
        <w:rPr>
          <w:rFonts w:hint="eastAsia" w:ascii="仿宋_GB2312" w:hAnsi="仿宋" w:eastAsia="仿宋_GB2312" w:cs="仿宋_GB2312"/>
          <w:sz w:val="32"/>
          <w:szCs w:val="32"/>
        </w:rPr>
        <w:t>项目</w:t>
      </w:r>
      <w:r>
        <w:rPr>
          <w:rFonts w:ascii="仿宋_GB2312" w:hAnsi="仿宋" w:eastAsia="仿宋_GB2312" w:cs="仿宋_GB2312"/>
          <w:sz w:val="32"/>
          <w:szCs w:val="32"/>
        </w:rPr>
        <w:t>）</w:t>
      </w:r>
      <w:r>
        <w:rPr>
          <w:rFonts w:hint="eastAsia" w:ascii="仿宋_GB2312" w:hAnsi="仿宋" w:eastAsia="仿宋_GB2312" w:cs="仿宋_GB2312"/>
          <w:sz w:val="32"/>
          <w:szCs w:val="32"/>
        </w:rPr>
        <w:t>，比2023年预算数减少</w:t>
      </w:r>
      <w:r>
        <w:rPr>
          <w:rFonts w:hint="eastAsia" w:ascii="仿宋_GB2312" w:hAnsi="仿?_GB2312" w:eastAsia="仿宋_GB2312" w:cs="仿宋_GB2312"/>
          <w:color w:val="000000"/>
          <w:sz w:val="32"/>
          <w:szCs w:val="32"/>
          <w:lang w:val="en-US" w:eastAsia="zh-CN"/>
        </w:rPr>
        <w:t>1590.87</w:t>
      </w:r>
      <w:r>
        <w:rPr>
          <w:rFonts w:hint="eastAsia" w:ascii="仿宋_GB2312" w:hAnsi="仿宋" w:eastAsia="仿宋_GB2312" w:cs="仿宋_GB2312"/>
          <w:sz w:val="32"/>
          <w:szCs w:val="32"/>
        </w:rPr>
        <w:t>万元，下降20.19%，主要是由于部分项目支出信息化服务项目开支安排取消。支出项目(按项级科目分类统计)包括：</w:t>
      </w:r>
    </w:p>
    <w:p w14:paraId="1213F6E3">
      <w:pPr>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1.一般公共服务支出（类）财政事务（款）信息化建设（项）1398.15万元。主要用于财政信息系统维护工作、数据中心机房电费和通信费等。</w:t>
      </w:r>
    </w:p>
    <w:p w14:paraId="31F7038B">
      <w:pPr>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2.一般公共服务支出（类）财政事务（款）事业运行（项）703.56万元。主要用于在职人员经费支出以及保障机构正常运转、完成日常工作任务的日常公用经费支出。</w:t>
      </w:r>
    </w:p>
    <w:p w14:paraId="0330D8F0">
      <w:pPr>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3.一般公共服务支出（类）财政事务（款）其他财政事务支出（项）414.55万元。主要用于会计服务培训工作经费支出。</w:t>
      </w:r>
    </w:p>
    <w:p w14:paraId="74EB6600">
      <w:pPr>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4.社会保障和就业支出（类）行政事业单位养老支出（款）事业单位离退休（项）58.47万元。主要用于中心退休人员的费用支出。</w:t>
      </w:r>
    </w:p>
    <w:p w14:paraId="6330D851">
      <w:pPr>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5.社会保障和就业支出（类）行政事业单位养老支出（款）机关事业单位基本养老保险缴费支出（项）56.63万元。主要用于中心工作人员养老保险方面的支出。</w:t>
      </w:r>
    </w:p>
    <w:p w14:paraId="7ADDE7AE">
      <w:pPr>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6.社会保障和就业支出（类）行政事业单位养老支出（款）机关事业单位职业年金缴费支出（项）48.59万元。主要用于中心工作人员职业年金缴费方面的支出。</w:t>
      </w:r>
    </w:p>
    <w:p w14:paraId="47A43956">
      <w:pPr>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7.卫生健康支出（类）行政事业单位医疗（款）事业单位医疗（项）14.84万元。主要用于中心工作人员医疗保险方面的支出。</w:t>
      </w:r>
    </w:p>
    <w:p w14:paraId="1AD44533">
      <w:pPr>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8.卫生健康支出（类）行政事业单位医疗（款）其他行政事业单位医疗支出（项）7.58万元。主要用于中心工作人员医疗保险方面的支出。</w:t>
      </w:r>
    </w:p>
    <w:p w14:paraId="514889A4">
      <w:pPr>
        <w:tabs>
          <w:tab w:val="left" w:pos="7513"/>
        </w:tabs>
        <w:adjustRightInd w:val="0"/>
        <w:snapToGrid w:val="0"/>
        <w:spacing w:line="560" w:lineRule="exact"/>
        <w:ind w:firstLine="640" w:firstLineChars="200"/>
        <w:rPr>
          <w:rFonts w:ascii="仿宋_GB2312" w:hAnsi="仿宋" w:eastAsia="仿宋_GB2312" w:cs="仿宋_GB2312"/>
          <w:sz w:val="32"/>
          <w:szCs w:val="32"/>
          <w:u w:val="single"/>
        </w:rPr>
      </w:pPr>
      <w:r>
        <w:rPr>
          <w:rFonts w:hint="eastAsia" w:ascii="仿宋_GB2312" w:hAnsi="仿宋" w:eastAsia="仿宋_GB2312" w:cs="仿宋_GB2312"/>
          <w:sz w:val="32"/>
          <w:szCs w:val="32"/>
        </w:rPr>
        <w:t>9.资源勘探工业信息等支出（类）其他资源勘探工业信息等支出（款）其他资源勘探工业信息等支出（项）3588万元。主要用于智慧财政系统（一期）支出。</w:t>
      </w:r>
    </w:p>
    <w:p w14:paraId="6E39CC26">
      <w:pPr>
        <w:tabs>
          <w:tab w:val="left" w:pos="7513"/>
        </w:tabs>
        <w:adjustRightInd w:val="0"/>
        <w:snapToGrid w:val="0"/>
        <w:spacing w:line="56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三、政府性基金预算</w:t>
      </w:r>
      <w:r>
        <w:rPr>
          <w:rFonts w:hint="eastAsia" w:ascii="黑体" w:hAnsi="黑体" w:eastAsia="黑体" w:cs="仿宋_GB2312"/>
          <w:bCs/>
          <w:sz w:val="32"/>
          <w:szCs w:val="32"/>
        </w:rPr>
        <w:t>财政拨款</w:t>
      </w:r>
      <w:r>
        <w:rPr>
          <w:rFonts w:hint="eastAsia" w:ascii="黑体" w:hAnsi="黑体" w:eastAsia="黑体" w:cs="仿宋_GB2312"/>
          <w:sz w:val="32"/>
          <w:szCs w:val="32"/>
        </w:rPr>
        <w:t>支出情况</w:t>
      </w:r>
    </w:p>
    <w:p w14:paraId="03D68E26">
      <w:pPr>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2024年度政府性基金支出0.00万元（</w:t>
      </w:r>
      <w:r>
        <w:rPr>
          <w:rFonts w:ascii="仿宋_GB2312" w:hAnsi="仿宋" w:eastAsia="仿宋_GB2312" w:cs="仿宋_GB2312"/>
          <w:sz w:val="32"/>
          <w:szCs w:val="32"/>
        </w:rPr>
        <w:t>不含市对区转移支付</w:t>
      </w:r>
      <w:r>
        <w:rPr>
          <w:rFonts w:hint="eastAsia" w:ascii="仿宋_GB2312" w:hAnsi="仿宋" w:eastAsia="仿宋_GB2312" w:cs="仿宋_GB2312"/>
          <w:sz w:val="32"/>
          <w:szCs w:val="32"/>
        </w:rPr>
        <w:t>项目</w:t>
      </w:r>
      <w:r>
        <w:rPr>
          <w:rFonts w:ascii="仿宋_GB2312" w:hAnsi="仿宋" w:eastAsia="仿宋_GB2312" w:cs="仿宋_GB2312"/>
          <w:sz w:val="32"/>
          <w:szCs w:val="32"/>
        </w:rPr>
        <w:t>）</w:t>
      </w:r>
      <w:r>
        <w:rPr>
          <w:rFonts w:hint="eastAsia" w:ascii="仿宋_GB2312" w:hAnsi="仿宋" w:eastAsia="仿宋_GB2312" w:cs="仿宋_GB2312"/>
          <w:sz w:val="32"/>
          <w:szCs w:val="32"/>
        </w:rPr>
        <w:t>，与</w:t>
      </w:r>
      <w:r>
        <w:rPr>
          <w:rFonts w:ascii="仿宋_GB2312" w:hAnsi="仿宋" w:eastAsia="仿宋_GB2312" w:cs="仿宋_GB2312"/>
          <w:sz w:val="32"/>
          <w:szCs w:val="32"/>
        </w:rPr>
        <w:t>2023</w:t>
      </w:r>
      <w:r>
        <w:rPr>
          <w:rFonts w:hint="eastAsia" w:ascii="仿宋_GB2312" w:hAnsi="仿宋" w:eastAsia="仿宋_GB2312" w:cs="仿宋_GB2312"/>
          <w:sz w:val="32"/>
          <w:szCs w:val="32"/>
        </w:rPr>
        <w:t>年预算持平，主要是由于202</w:t>
      </w:r>
      <w:r>
        <w:rPr>
          <w:rFonts w:hint="eastAsia" w:ascii="仿宋_GB2312" w:hAnsi="仿宋" w:eastAsia="仿宋_GB2312" w:cs="仿宋_GB2312"/>
          <w:sz w:val="32"/>
          <w:szCs w:val="32"/>
          <w:lang w:val="en-US" w:eastAsia="zh-CN"/>
        </w:rPr>
        <w:t>4</w:t>
      </w:r>
      <w:r>
        <w:rPr>
          <w:rFonts w:hint="eastAsia" w:ascii="仿宋_GB2312" w:hAnsi="仿宋" w:eastAsia="仿宋_GB2312" w:cs="仿宋_GB2312"/>
          <w:sz w:val="32"/>
          <w:szCs w:val="32"/>
        </w:rPr>
        <w:t>年本单位没有使用政府性基金预算拨款安排支出。</w:t>
      </w:r>
    </w:p>
    <w:p w14:paraId="4C8796B7">
      <w:pPr>
        <w:tabs>
          <w:tab w:val="left" w:pos="7513"/>
        </w:tabs>
        <w:adjustRightInd w:val="0"/>
        <w:snapToGrid w:val="0"/>
        <w:spacing w:line="560" w:lineRule="exact"/>
        <w:ind w:firstLine="640" w:firstLineChars="200"/>
        <w:rPr>
          <w:rFonts w:ascii="黑体" w:hAnsi="黑体" w:eastAsia="黑体" w:cs="宋体"/>
          <w:kern w:val="0"/>
          <w:sz w:val="32"/>
          <w:szCs w:val="32"/>
        </w:rPr>
      </w:pPr>
      <w:r>
        <w:rPr>
          <w:rFonts w:hint="eastAsia" w:ascii="黑体" w:hAnsi="黑体" w:eastAsia="黑体" w:cs="宋体"/>
          <w:kern w:val="0"/>
          <w:sz w:val="32"/>
          <w:szCs w:val="32"/>
        </w:rPr>
        <w:t>四、“三公”经费财政拨款预算情况</w:t>
      </w:r>
    </w:p>
    <w:p w14:paraId="1EB96C9F">
      <w:pPr>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Times New Roman" w:eastAsia="仿宋_GB2312" w:cs="仿宋_GB2312"/>
          <w:color w:val="000000"/>
          <w:sz w:val="32"/>
          <w:szCs w:val="32"/>
        </w:rPr>
        <w:t>厦门市财政信息中心</w:t>
      </w:r>
      <w:r>
        <w:rPr>
          <w:rFonts w:hint="eastAsia" w:ascii="仿宋_GB2312" w:hAnsi="仿宋" w:eastAsia="仿宋_GB2312" w:cs="仿宋_GB2312"/>
          <w:kern w:val="0"/>
          <w:sz w:val="32"/>
          <w:szCs w:val="32"/>
        </w:rPr>
        <w:t>2024年</w:t>
      </w:r>
      <w:r>
        <w:rPr>
          <w:rFonts w:hint="eastAsia" w:ascii="仿宋_GB2312" w:hAnsi="仿宋" w:eastAsia="仿宋_GB2312" w:cs="宋体"/>
          <w:kern w:val="0"/>
          <w:sz w:val="32"/>
          <w:szCs w:val="32"/>
        </w:rPr>
        <w:t>“三公”经费财政拨款预算数为</w:t>
      </w:r>
      <w:r>
        <w:rPr>
          <w:rFonts w:hint="eastAsia" w:ascii="仿宋_GB2312" w:hAnsi="仿宋" w:eastAsia="仿宋_GB2312" w:cs="仿宋_GB2312"/>
          <w:kern w:val="0"/>
          <w:sz w:val="32"/>
          <w:szCs w:val="32"/>
        </w:rPr>
        <w:t>5.96</w:t>
      </w:r>
      <w:r>
        <w:rPr>
          <w:rFonts w:hint="eastAsia" w:ascii="仿宋_GB2312" w:hAnsi="仿宋" w:eastAsia="仿宋_GB2312" w:cs="宋体"/>
          <w:kern w:val="0"/>
          <w:sz w:val="32"/>
          <w:szCs w:val="32"/>
        </w:rPr>
        <w:t>万元，其中</w:t>
      </w:r>
      <w:r>
        <w:rPr>
          <w:rFonts w:hint="eastAsia" w:ascii="仿宋_GB2312" w:hAnsi="仿宋" w:eastAsia="仿宋_GB2312" w:cs="仿宋_GB2312"/>
          <w:sz w:val="32"/>
          <w:szCs w:val="32"/>
        </w:rPr>
        <w:t>：因公出国（境）经费0.00万元，公务接待费0.54万元，公务用车购置及运行费5.42万元。具体情况如下：</w:t>
      </w:r>
    </w:p>
    <w:p w14:paraId="2D43642C">
      <w:pPr>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楷体_GB2312" w:hAnsi="仿宋" w:eastAsia="楷体_GB2312" w:cs="仿宋_GB2312"/>
          <w:sz w:val="32"/>
          <w:szCs w:val="32"/>
        </w:rPr>
        <w:t>（一）因公出国（境）经费</w:t>
      </w:r>
    </w:p>
    <w:p w14:paraId="00A8AFED">
      <w:pPr>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2024年预算安排0.00万元。与上年预算持平，主要原因是:本单位2024年未组织出国（境）团组。</w:t>
      </w:r>
    </w:p>
    <w:p w14:paraId="4ED1244B">
      <w:pPr>
        <w:tabs>
          <w:tab w:val="left" w:pos="7513"/>
        </w:tabs>
        <w:adjustRightInd w:val="0"/>
        <w:snapToGrid w:val="0"/>
        <w:spacing w:line="560" w:lineRule="exact"/>
        <w:ind w:firstLine="640" w:firstLineChars="200"/>
        <w:rPr>
          <w:rFonts w:ascii="楷体_GB2312" w:hAnsi="仿宋" w:eastAsia="楷体_GB2312" w:cs="仿宋_GB2312"/>
          <w:sz w:val="32"/>
          <w:szCs w:val="32"/>
        </w:rPr>
      </w:pPr>
      <w:r>
        <w:rPr>
          <w:rFonts w:hint="eastAsia" w:ascii="楷体_GB2312" w:hAnsi="仿宋" w:eastAsia="楷体_GB2312" w:cs="仿宋_GB2312"/>
          <w:sz w:val="32"/>
          <w:szCs w:val="32"/>
        </w:rPr>
        <w:t>（二）公务接待费</w:t>
      </w:r>
    </w:p>
    <w:p w14:paraId="36494549">
      <w:pPr>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宋体"/>
          <w:kern w:val="0"/>
          <w:sz w:val="32"/>
          <w:szCs w:val="32"/>
        </w:rPr>
        <w:t>2024年预算安排0.54万元。主要用于本单位公务接待活动。与上年预算持平</w:t>
      </w:r>
      <w:r>
        <w:rPr>
          <w:rFonts w:hint="eastAsia" w:ascii="仿宋_GB2312" w:hAnsi="仿宋_GB2312" w:eastAsia="仿宋_GB2312"/>
          <w:color w:val="auto"/>
          <w:sz w:val="32"/>
        </w:rPr>
        <w:t>，</w:t>
      </w:r>
      <w:r>
        <w:rPr>
          <w:rFonts w:hint="eastAsia" w:ascii="仿宋_GB2312" w:hAnsi="仿宋_GB2312" w:eastAsia="仿宋_GB2312"/>
          <w:sz w:val="32"/>
          <w:szCs w:val="24"/>
        </w:rPr>
        <w:t>主要原因是:</w:t>
      </w:r>
      <w:r>
        <w:rPr>
          <w:rFonts w:hint="eastAsia" w:ascii="仿宋_GB2312" w:hAnsi="仿宋_GB2312" w:eastAsia="仿宋_GB2312"/>
          <w:color w:val="auto"/>
          <w:sz w:val="32"/>
          <w:lang w:eastAsia="zh-CN"/>
        </w:rPr>
        <w:t>本单位</w:t>
      </w:r>
      <w:r>
        <w:rPr>
          <w:rFonts w:hint="eastAsia" w:ascii="仿宋_GB2312" w:hAnsi="仿宋_GB2312" w:eastAsia="仿宋_GB2312"/>
          <w:color w:val="auto"/>
          <w:sz w:val="32"/>
          <w:lang w:val="en-US" w:eastAsia="zh-CN"/>
        </w:rPr>
        <w:t>2024年公务接待活动支出规模保持2023年水平。</w:t>
      </w:r>
    </w:p>
    <w:p w14:paraId="25359C35">
      <w:pPr>
        <w:tabs>
          <w:tab w:val="left" w:pos="7513"/>
        </w:tabs>
        <w:adjustRightInd w:val="0"/>
        <w:snapToGrid w:val="0"/>
        <w:spacing w:line="560" w:lineRule="exact"/>
        <w:ind w:firstLine="640" w:firstLineChars="200"/>
        <w:rPr>
          <w:rFonts w:ascii="楷体_GB2312" w:hAnsi="仿宋" w:eastAsia="楷体_GB2312" w:cs="仿宋_GB2312"/>
          <w:sz w:val="32"/>
          <w:szCs w:val="32"/>
        </w:rPr>
      </w:pPr>
      <w:r>
        <w:rPr>
          <w:rFonts w:hint="eastAsia" w:ascii="楷体_GB2312" w:hAnsi="仿宋" w:eastAsia="楷体_GB2312" w:cs="仿宋_GB2312"/>
          <w:sz w:val="32"/>
          <w:szCs w:val="32"/>
        </w:rPr>
        <w:t>（三）公务用车购置及运行费</w:t>
      </w:r>
    </w:p>
    <w:p w14:paraId="17C7DA55">
      <w:pPr>
        <w:spacing w:line="555" w:lineRule="exact"/>
        <w:ind w:firstLine="640"/>
        <w:rPr>
          <w:rFonts w:hint="eastAsia" w:ascii="仿宋_GB2312" w:hAnsi="仿宋_GB2312" w:eastAsia="仿宋_GB2312"/>
          <w:sz w:val="32"/>
          <w:lang w:eastAsia="zh-CN"/>
        </w:rPr>
      </w:pPr>
      <w:r>
        <w:rPr>
          <w:rFonts w:hint="eastAsia" w:ascii="仿宋_GB2312" w:hAnsi="仿宋" w:eastAsia="仿宋_GB2312" w:cs="仿宋_GB2312"/>
          <w:kern w:val="0"/>
          <w:sz w:val="32"/>
          <w:szCs w:val="32"/>
        </w:rPr>
        <w:t>2024年</w:t>
      </w:r>
      <w:r>
        <w:rPr>
          <w:rFonts w:hint="eastAsia" w:ascii="仿宋_GB2312" w:hAnsi="仿宋" w:eastAsia="仿宋_GB2312" w:cs="宋体"/>
          <w:kern w:val="0"/>
          <w:sz w:val="32"/>
          <w:szCs w:val="32"/>
        </w:rPr>
        <w:t>预算安排</w:t>
      </w:r>
      <w:r>
        <w:rPr>
          <w:rFonts w:ascii="仿宋_GB2312" w:hAnsi="仿?_GB2312" w:eastAsia="仿宋_GB2312" w:cs="仿宋_GB2312"/>
          <w:color w:val="000000"/>
          <w:sz w:val="32"/>
          <w:szCs w:val="32"/>
        </w:rPr>
        <w:t>5.42</w:t>
      </w:r>
      <w:r>
        <w:rPr>
          <w:rFonts w:hint="eastAsia" w:ascii="仿宋_GB2312" w:hAnsi="仿宋" w:eastAsia="仿宋_GB2312" w:cs="宋体"/>
          <w:kern w:val="0"/>
          <w:sz w:val="32"/>
          <w:szCs w:val="32"/>
        </w:rPr>
        <w:t>万元，其中：</w:t>
      </w:r>
      <w:r>
        <w:rPr>
          <w:rFonts w:hint="eastAsia" w:ascii="仿宋_GB2312" w:hAnsi="仿?_GB2312" w:eastAsia="仿宋_GB2312" w:cs="仿宋_GB2312"/>
          <w:color w:val="000000"/>
          <w:sz w:val="32"/>
          <w:szCs w:val="32"/>
        </w:rPr>
        <w:t>公务用车运行费</w:t>
      </w:r>
      <w:r>
        <w:rPr>
          <w:rFonts w:ascii="仿宋_GB2312" w:hAnsi="仿?_GB2312" w:eastAsia="仿宋_GB2312" w:cs="仿宋_GB2312"/>
          <w:color w:val="000000"/>
          <w:sz w:val="32"/>
          <w:szCs w:val="32"/>
        </w:rPr>
        <w:t>5.42</w:t>
      </w:r>
      <w:r>
        <w:rPr>
          <w:rFonts w:hint="eastAsia" w:ascii="仿宋_GB2312" w:hAnsi="仿?_GB2312" w:eastAsia="仿宋_GB2312" w:cs="仿宋_GB2312"/>
          <w:color w:val="000000"/>
          <w:sz w:val="32"/>
          <w:szCs w:val="32"/>
        </w:rPr>
        <w:t>万元，主要用于公务用车燃油、维修、保险等方面支出；公务用车购置费</w:t>
      </w:r>
      <w:r>
        <w:rPr>
          <w:rFonts w:ascii="仿宋_GB2312" w:hAnsi="仿?_GB2312" w:eastAsia="仿宋_GB2312" w:cs="仿宋_GB2312"/>
          <w:color w:val="000000"/>
          <w:sz w:val="32"/>
          <w:szCs w:val="32"/>
        </w:rPr>
        <w:t>0.00</w:t>
      </w:r>
      <w:r>
        <w:rPr>
          <w:rFonts w:hint="eastAsia" w:ascii="仿宋_GB2312" w:hAnsi="仿?_GB2312" w:eastAsia="仿宋_GB2312" w:cs="仿宋_GB2312"/>
          <w:color w:val="000000"/>
          <w:sz w:val="32"/>
          <w:szCs w:val="32"/>
        </w:rPr>
        <w:t>万元。</w:t>
      </w:r>
      <w:r>
        <w:rPr>
          <w:rFonts w:hint="eastAsia" w:ascii="仿宋_GB2312" w:hAnsi="仿宋" w:eastAsia="仿宋_GB2312" w:cs="宋体"/>
          <w:kern w:val="0"/>
          <w:sz w:val="32"/>
          <w:szCs w:val="32"/>
        </w:rPr>
        <w:t>与上年预算持平</w:t>
      </w:r>
      <w:r>
        <w:rPr>
          <w:rFonts w:hint="eastAsia" w:ascii="仿宋_GB2312" w:hAnsi="仿宋" w:eastAsia="仿宋_GB2312" w:cs="仿宋_GB2312"/>
          <w:color w:val="000000"/>
          <w:sz w:val="32"/>
          <w:szCs w:val="32"/>
        </w:rPr>
        <w:t>，</w:t>
      </w:r>
      <w:r>
        <w:rPr>
          <w:rFonts w:hint="eastAsia" w:ascii="仿宋_GB2312" w:hAnsi="仿宋_GB2312" w:eastAsia="仿宋_GB2312"/>
          <w:sz w:val="32"/>
          <w:szCs w:val="24"/>
        </w:rPr>
        <w:t>主要原因是:</w:t>
      </w:r>
      <w:r>
        <w:rPr>
          <w:rFonts w:hint="eastAsia" w:ascii="仿宋_GB2312" w:hAnsi="仿宋" w:eastAsia="仿宋_GB2312" w:cs="仿宋_GB2312"/>
          <w:color w:val="000000"/>
          <w:sz w:val="32"/>
          <w:szCs w:val="32"/>
        </w:rPr>
        <w:t>本</w:t>
      </w:r>
      <w:r>
        <w:rPr>
          <w:rFonts w:hint="eastAsia" w:ascii="仿宋_GB2312" w:hAnsi="仿宋" w:eastAsia="仿宋_GB2312" w:cs="仿宋_GB2312"/>
          <w:color w:val="000000"/>
          <w:sz w:val="32"/>
          <w:szCs w:val="32"/>
          <w:lang w:eastAsia="zh-CN"/>
        </w:rPr>
        <w:t>单位</w:t>
      </w:r>
      <w:r>
        <w:rPr>
          <w:rFonts w:hint="eastAsia" w:ascii="仿宋_GB2312" w:hAnsi="仿宋" w:eastAsia="仿宋_GB2312" w:cs="仿宋_GB2312"/>
          <w:color w:val="000000"/>
          <w:sz w:val="32"/>
          <w:szCs w:val="32"/>
        </w:rPr>
        <w:t>202</w:t>
      </w:r>
      <w:r>
        <w:rPr>
          <w:rFonts w:hint="eastAsia" w:ascii="仿宋_GB2312" w:hAnsi="仿宋" w:eastAsia="仿宋_GB2312" w:cs="仿宋_GB2312"/>
          <w:color w:val="000000"/>
          <w:sz w:val="32"/>
          <w:szCs w:val="32"/>
          <w:lang w:val="en-US" w:eastAsia="zh-CN"/>
        </w:rPr>
        <w:t>4</w:t>
      </w:r>
      <w:r>
        <w:rPr>
          <w:rFonts w:hint="eastAsia" w:ascii="仿宋_GB2312" w:hAnsi="仿宋" w:eastAsia="仿宋_GB2312" w:cs="仿宋_GB2312"/>
          <w:color w:val="000000"/>
          <w:sz w:val="32"/>
          <w:szCs w:val="32"/>
        </w:rPr>
        <w:t>年</w:t>
      </w:r>
      <w:r>
        <w:rPr>
          <w:rFonts w:hint="eastAsia" w:ascii="仿宋_GB2312" w:hAnsi="??_GB2312" w:eastAsia="仿宋_GB2312" w:cs="仿宋_GB2312"/>
          <w:color w:val="000000"/>
          <w:sz w:val="32"/>
          <w:szCs w:val="32"/>
        </w:rPr>
        <w:t>公务用车购置及运行费</w:t>
      </w:r>
      <w:r>
        <w:rPr>
          <w:rFonts w:hint="eastAsia" w:ascii="仿宋_GB2312" w:hAnsi="仿宋" w:eastAsia="仿宋_GB2312" w:cs="宋体"/>
          <w:color w:val="000000"/>
          <w:sz w:val="32"/>
          <w:szCs w:val="32"/>
        </w:rPr>
        <w:t>支出规模</w:t>
      </w:r>
      <w:r>
        <w:rPr>
          <w:rFonts w:hint="eastAsia" w:ascii="仿宋_GB2312" w:hAnsi="??_GB2312" w:eastAsia="仿宋_GB2312" w:cs="仿宋_GB2312"/>
          <w:color w:val="000000"/>
          <w:sz w:val="32"/>
          <w:szCs w:val="32"/>
        </w:rPr>
        <w:t>保持202</w:t>
      </w:r>
      <w:r>
        <w:rPr>
          <w:rFonts w:hint="eastAsia" w:ascii="仿宋_GB2312" w:hAnsi="??_GB2312" w:eastAsia="仿宋_GB2312" w:cs="仿宋_GB2312"/>
          <w:color w:val="000000"/>
          <w:sz w:val="32"/>
          <w:szCs w:val="32"/>
          <w:lang w:val="en-US" w:eastAsia="zh-CN"/>
        </w:rPr>
        <w:t>3</w:t>
      </w:r>
      <w:r>
        <w:rPr>
          <w:rFonts w:hint="eastAsia" w:ascii="仿宋_GB2312" w:hAnsi="??_GB2312" w:eastAsia="仿宋_GB2312" w:cs="仿宋_GB2312"/>
          <w:color w:val="000000"/>
          <w:sz w:val="32"/>
          <w:szCs w:val="32"/>
        </w:rPr>
        <w:t>年水平</w:t>
      </w:r>
      <w:r>
        <w:rPr>
          <w:rFonts w:hint="eastAsia" w:ascii="仿宋_GB2312" w:hAnsi="仿宋_GB2312" w:eastAsia="仿宋_GB2312"/>
          <w:sz w:val="32"/>
          <w:lang w:eastAsia="zh-CN"/>
        </w:rPr>
        <w:t>。</w:t>
      </w:r>
    </w:p>
    <w:p w14:paraId="6E707072">
      <w:pPr>
        <w:tabs>
          <w:tab w:val="left" w:pos="7513"/>
        </w:tabs>
        <w:adjustRightInd w:val="0"/>
        <w:snapToGrid w:val="0"/>
        <w:spacing w:line="560" w:lineRule="exact"/>
        <w:ind w:firstLine="640" w:firstLineChars="200"/>
        <w:rPr>
          <w:rFonts w:ascii="黑体" w:hAnsi="黑体" w:eastAsia="黑体" w:cs="宋体"/>
          <w:kern w:val="0"/>
          <w:sz w:val="32"/>
          <w:szCs w:val="32"/>
        </w:rPr>
      </w:pPr>
      <w:r>
        <w:rPr>
          <w:rFonts w:hint="eastAsia" w:ascii="黑体" w:hAnsi="黑体" w:eastAsia="黑体" w:cs="宋体"/>
          <w:kern w:val="0"/>
          <w:sz w:val="32"/>
          <w:szCs w:val="32"/>
        </w:rPr>
        <w:t>五、其他重要事项的情况说明</w:t>
      </w:r>
    </w:p>
    <w:p w14:paraId="4CD8C5ED">
      <w:pPr>
        <w:tabs>
          <w:tab w:val="left" w:pos="7513"/>
        </w:tabs>
        <w:adjustRightInd w:val="0"/>
        <w:snapToGrid w:val="0"/>
        <w:spacing w:line="560" w:lineRule="exact"/>
        <w:ind w:firstLine="640" w:firstLineChars="200"/>
        <w:rPr>
          <w:rFonts w:ascii="楷体_GB2312" w:hAnsi="仿宋" w:eastAsia="楷体_GB2312" w:cs="仿宋_GB2312"/>
          <w:sz w:val="32"/>
          <w:szCs w:val="32"/>
        </w:rPr>
      </w:pPr>
      <w:r>
        <w:rPr>
          <w:rFonts w:hint="eastAsia" w:ascii="楷体_GB2312" w:hAnsi="仿宋" w:eastAsia="楷体_GB2312" w:cs="仿宋_GB2312"/>
          <w:sz w:val="32"/>
          <w:szCs w:val="32"/>
        </w:rPr>
        <w:t>（一）事业运行经费</w:t>
      </w:r>
    </w:p>
    <w:p w14:paraId="613304A1">
      <w:pPr>
        <w:tabs>
          <w:tab w:val="left" w:pos="7513"/>
        </w:tabs>
        <w:adjustRightInd w:val="0"/>
        <w:snapToGrid w:val="0"/>
        <w:spacing w:line="560" w:lineRule="exact"/>
        <w:ind w:firstLine="640" w:firstLineChars="200"/>
        <w:rPr>
          <w:rFonts w:ascii="仿宋_GB2312" w:hAnsi="仿宋" w:eastAsia="仿宋_GB2312" w:cs="宋体"/>
          <w:color w:val="000000" w:themeColor="text1"/>
          <w:kern w:val="0"/>
          <w:sz w:val="32"/>
          <w:szCs w:val="32"/>
        </w:rPr>
      </w:pPr>
      <w:r>
        <w:rPr>
          <w:rFonts w:ascii="仿宋_GB2312" w:hAnsi="仿宋" w:eastAsia="仿宋_GB2312" w:cs="宋体"/>
          <w:color w:val="000000" w:themeColor="text1"/>
          <w:kern w:val="0"/>
          <w:sz w:val="32"/>
          <w:szCs w:val="32"/>
        </w:rPr>
        <w:t>2024</w:t>
      </w:r>
      <w:r>
        <w:rPr>
          <w:rFonts w:hint="eastAsia" w:ascii="仿宋_GB2312" w:hAnsi="仿宋" w:eastAsia="仿宋_GB2312" w:cs="宋体"/>
          <w:color w:val="000000" w:themeColor="text1"/>
          <w:kern w:val="0"/>
          <w:sz w:val="32"/>
          <w:szCs w:val="32"/>
        </w:rPr>
        <w:t>年厦门市财政信息中心的事业运行经费财政拨款预算</w:t>
      </w:r>
      <w:r>
        <w:rPr>
          <w:rFonts w:ascii="仿宋_GB2312" w:hAnsi="仿?_GB2312" w:eastAsia="仿宋_GB2312" w:cs="仿宋_GB2312"/>
          <w:color w:val="000000" w:themeColor="text1"/>
          <w:sz w:val="32"/>
          <w:szCs w:val="32"/>
        </w:rPr>
        <w:t>0.00</w:t>
      </w:r>
      <w:r>
        <w:rPr>
          <w:rFonts w:hint="eastAsia" w:ascii="仿宋_GB2312" w:hAnsi="仿宋" w:eastAsia="仿宋_GB2312" w:cs="宋体"/>
          <w:color w:val="000000" w:themeColor="text1"/>
          <w:kern w:val="0"/>
          <w:sz w:val="32"/>
          <w:szCs w:val="32"/>
        </w:rPr>
        <w:t>万元，比</w:t>
      </w:r>
      <w:r>
        <w:rPr>
          <w:rFonts w:ascii="仿宋_GB2312" w:hAnsi="仿宋" w:eastAsia="仿宋_GB2312" w:cs="宋体"/>
          <w:color w:val="000000" w:themeColor="text1"/>
          <w:kern w:val="0"/>
          <w:sz w:val="32"/>
          <w:szCs w:val="32"/>
        </w:rPr>
        <w:t>2023</w:t>
      </w:r>
      <w:r>
        <w:rPr>
          <w:rFonts w:hint="eastAsia" w:ascii="仿宋_GB2312" w:hAnsi="仿宋" w:eastAsia="仿宋_GB2312" w:cs="宋体"/>
          <w:color w:val="000000" w:themeColor="text1"/>
          <w:kern w:val="0"/>
          <w:sz w:val="32"/>
          <w:szCs w:val="32"/>
        </w:rPr>
        <w:t>年预算减少（增加）</w:t>
      </w:r>
      <w:r>
        <w:rPr>
          <w:rFonts w:ascii="仿宋_GB2312" w:hAnsi="仿?_GB2312" w:eastAsia="仿宋_GB2312" w:cs="仿宋_GB2312"/>
          <w:color w:val="000000" w:themeColor="text1"/>
          <w:sz w:val="32"/>
          <w:szCs w:val="32"/>
        </w:rPr>
        <w:t>0.00</w:t>
      </w:r>
      <w:r>
        <w:rPr>
          <w:rFonts w:hint="eastAsia" w:ascii="仿宋_GB2312" w:hAnsi="仿宋" w:eastAsia="仿宋_GB2312" w:cs="宋体"/>
          <w:color w:val="000000" w:themeColor="text1"/>
          <w:kern w:val="0"/>
          <w:sz w:val="32"/>
          <w:szCs w:val="32"/>
        </w:rPr>
        <w:t>万元，下降（增长）</w:t>
      </w:r>
      <w:r>
        <w:rPr>
          <w:rFonts w:ascii="仿宋_GB2312" w:hAnsi="仿宋" w:eastAsia="仿宋_GB2312" w:cs="宋体"/>
          <w:color w:val="000000" w:themeColor="text1"/>
          <w:kern w:val="0"/>
          <w:sz w:val="32"/>
          <w:szCs w:val="32"/>
        </w:rPr>
        <w:t>0%。</w:t>
      </w:r>
    </w:p>
    <w:p w14:paraId="6DA989A8">
      <w:pPr>
        <w:tabs>
          <w:tab w:val="left" w:pos="7513"/>
        </w:tabs>
        <w:adjustRightInd w:val="0"/>
        <w:snapToGrid w:val="0"/>
        <w:spacing w:line="560" w:lineRule="exact"/>
        <w:ind w:firstLine="640" w:firstLineChars="200"/>
        <w:rPr>
          <w:rFonts w:ascii="楷体_GB2312" w:hAnsi="仿宋" w:eastAsia="楷体_GB2312" w:cs="仿宋_GB2312"/>
          <w:sz w:val="32"/>
          <w:szCs w:val="32"/>
        </w:rPr>
      </w:pPr>
      <w:r>
        <w:rPr>
          <w:rFonts w:hint="eastAsia" w:ascii="楷体_GB2312" w:hAnsi="仿宋" w:eastAsia="楷体_GB2312" w:cs="仿宋_GB2312"/>
          <w:sz w:val="32"/>
          <w:szCs w:val="32"/>
        </w:rPr>
        <w:t>（二）政府采购情况</w:t>
      </w:r>
    </w:p>
    <w:p w14:paraId="4536DCB8">
      <w:pPr>
        <w:tabs>
          <w:tab w:val="left" w:pos="7513"/>
        </w:tabs>
        <w:adjustRightInd w:val="0"/>
        <w:snapToGrid w:val="0"/>
        <w:spacing w:line="56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2024年</w:t>
      </w:r>
      <w:r>
        <w:rPr>
          <w:rFonts w:hint="eastAsia" w:ascii="仿宋_GB2312" w:hAnsi="仿?_GB2312" w:eastAsia="仿宋_GB2312" w:cs="仿宋_GB2312"/>
          <w:color w:val="000000"/>
          <w:sz w:val="32"/>
          <w:szCs w:val="32"/>
        </w:rPr>
        <w:t>厦门市财政信息中心</w:t>
      </w:r>
      <w:r>
        <w:rPr>
          <w:rFonts w:hint="eastAsia" w:ascii="仿宋_GB2312" w:hAnsi="仿宋" w:eastAsia="仿宋_GB2312" w:cs="宋体"/>
          <w:kern w:val="0"/>
          <w:sz w:val="32"/>
          <w:szCs w:val="32"/>
        </w:rPr>
        <w:t>政府采购预算总额603万元，其中：政府采购货物预算0万元，政府采购工程预算0万元，政府采购信息系统及相关运维服务预算603万元。</w:t>
      </w:r>
    </w:p>
    <w:p w14:paraId="2C642BDD">
      <w:pPr>
        <w:tabs>
          <w:tab w:val="left" w:pos="7513"/>
        </w:tabs>
        <w:adjustRightInd w:val="0"/>
        <w:snapToGrid w:val="0"/>
        <w:spacing w:line="560" w:lineRule="exact"/>
        <w:ind w:firstLine="640" w:firstLineChars="200"/>
        <w:rPr>
          <w:rFonts w:ascii="楷体_GB2312" w:hAnsi="仿宋" w:eastAsia="楷体_GB2312" w:cs="仿宋_GB2312"/>
          <w:sz w:val="32"/>
          <w:szCs w:val="32"/>
        </w:rPr>
      </w:pPr>
      <w:r>
        <w:rPr>
          <w:rFonts w:hint="eastAsia" w:ascii="楷体_GB2312" w:hAnsi="仿宋" w:eastAsia="楷体_GB2312" w:cs="仿宋_GB2312"/>
          <w:sz w:val="32"/>
          <w:szCs w:val="32"/>
        </w:rPr>
        <w:t>（三）国有资产占有使用情况</w:t>
      </w:r>
    </w:p>
    <w:p w14:paraId="5F6EB8F2">
      <w:pPr>
        <w:tabs>
          <w:tab w:val="left" w:pos="7513"/>
        </w:tabs>
        <w:adjustRightInd w:val="0"/>
        <w:snapToGrid w:val="0"/>
        <w:spacing w:line="560" w:lineRule="exact"/>
        <w:ind w:firstLine="640" w:firstLineChars="200"/>
        <w:rPr>
          <w:rFonts w:ascii="仿宋_GB2312" w:hAnsi="仿宋" w:eastAsia="仿宋_GB2312" w:cs="宋体"/>
          <w:kern w:val="0"/>
          <w:sz w:val="32"/>
          <w:szCs w:val="32"/>
        </w:rPr>
      </w:pPr>
      <w:r>
        <w:rPr>
          <w:rFonts w:hint="eastAsia" w:ascii="仿宋_GB2312" w:hAnsi="宋体" w:eastAsia="仿宋_GB2312" w:cs="宋体"/>
          <w:kern w:val="0"/>
          <w:sz w:val="32"/>
          <w:szCs w:val="32"/>
        </w:rPr>
        <w:t>截</w:t>
      </w:r>
      <w:r>
        <w:rPr>
          <w:rFonts w:hint="eastAsia" w:ascii="仿宋_GB2312" w:hAnsi="仿宋" w:eastAsia="仿宋_GB2312" w:cs="仿宋_GB2312"/>
          <w:sz w:val="32"/>
          <w:szCs w:val="32"/>
        </w:rPr>
        <w:t>至2023年12月31日，</w:t>
      </w:r>
      <w:r>
        <w:rPr>
          <w:rFonts w:hint="eastAsia" w:ascii="仿宋_GB2312" w:hAnsi="仿宋" w:eastAsia="仿宋_GB2312" w:cs="宋体"/>
          <w:kern w:val="0"/>
          <w:sz w:val="32"/>
          <w:szCs w:val="32"/>
        </w:rPr>
        <w:t>厦门市财政信息中心</w:t>
      </w:r>
      <w:r>
        <w:rPr>
          <w:rFonts w:hint="eastAsia" w:ascii="仿宋_GB2312" w:hAnsi="仿宋" w:eastAsia="仿宋_GB2312" w:cs="仿宋_GB2312"/>
          <w:sz w:val="32"/>
          <w:szCs w:val="32"/>
        </w:rPr>
        <w:t>共有车辆2辆，</w:t>
      </w:r>
      <w:r>
        <w:rPr>
          <w:rFonts w:ascii="仿宋_GB2312" w:hAnsi="仿宋" w:eastAsia="仿宋_GB2312" w:cs="仿宋_GB2312"/>
          <w:sz w:val="32"/>
          <w:szCs w:val="32"/>
        </w:rPr>
        <w:t>单位价值50万以上通用设备</w:t>
      </w:r>
      <w:r>
        <w:rPr>
          <w:rFonts w:hint="eastAsia" w:ascii="仿宋_GB2312" w:hAnsi="仿宋" w:eastAsia="仿宋_GB2312" w:cs="仿宋_GB2312"/>
          <w:sz w:val="32"/>
          <w:szCs w:val="32"/>
        </w:rPr>
        <w:t>0</w:t>
      </w:r>
      <w:r>
        <w:rPr>
          <w:rFonts w:ascii="仿宋_GB2312" w:hAnsi="仿宋" w:eastAsia="仿宋_GB2312" w:cs="仿宋_GB2312"/>
          <w:sz w:val="32"/>
          <w:szCs w:val="32"/>
        </w:rPr>
        <w:t>台（套）</w:t>
      </w:r>
      <w:r>
        <w:rPr>
          <w:rFonts w:hint="eastAsia" w:ascii="仿宋_GB2312" w:hAnsi="仿宋" w:eastAsia="仿宋_GB2312" w:cs="仿宋_GB2312"/>
          <w:sz w:val="32"/>
          <w:szCs w:val="32"/>
        </w:rPr>
        <w:t>，</w:t>
      </w:r>
      <w:r>
        <w:rPr>
          <w:rFonts w:ascii="仿宋_GB2312" w:hAnsi="仿宋" w:eastAsia="仿宋_GB2312" w:cs="仿宋_GB2312"/>
          <w:sz w:val="32"/>
          <w:szCs w:val="32"/>
        </w:rPr>
        <w:t>单位价值100万以上专用设备</w:t>
      </w:r>
      <w:r>
        <w:rPr>
          <w:rFonts w:hint="eastAsia" w:ascii="仿宋_GB2312" w:hAnsi="仿宋" w:eastAsia="仿宋_GB2312" w:cs="仿宋_GB2312"/>
          <w:sz w:val="32"/>
          <w:szCs w:val="32"/>
        </w:rPr>
        <w:t>4</w:t>
      </w:r>
      <w:r>
        <w:rPr>
          <w:rFonts w:ascii="仿宋_GB2312" w:hAnsi="仿宋" w:eastAsia="仿宋_GB2312" w:cs="仿宋_GB2312"/>
          <w:sz w:val="32"/>
          <w:szCs w:val="32"/>
        </w:rPr>
        <w:t>台（套）</w:t>
      </w:r>
      <w:r>
        <w:rPr>
          <w:rFonts w:hint="eastAsia" w:ascii="仿宋_GB2312" w:hAnsi="仿宋" w:eastAsia="仿宋_GB2312" w:cs="仿宋_GB2312"/>
          <w:sz w:val="32"/>
          <w:szCs w:val="32"/>
        </w:rPr>
        <w:t>。</w:t>
      </w:r>
    </w:p>
    <w:p w14:paraId="2E5E5B78">
      <w:pPr>
        <w:tabs>
          <w:tab w:val="left" w:pos="7513"/>
        </w:tabs>
        <w:adjustRightInd w:val="0"/>
        <w:snapToGrid w:val="0"/>
        <w:spacing w:line="560" w:lineRule="exact"/>
        <w:ind w:firstLine="640" w:firstLineChars="200"/>
        <w:rPr>
          <w:rFonts w:ascii="楷体_GB2312" w:hAnsi="仿宋" w:eastAsia="楷体_GB2312" w:cs="仿宋_GB2312"/>
          <w:sz w:val="32"/>
          <w:szCs w:val="32"/>
        </w:rPr>
      </w:pPr>
      <w:r>
        <w:rPr>
          <w:rFonts w:hint="eastAsia" w:ascii="楷体_GB2312" w:hAnsi="仿宋" w:eastAsia="楷体_GB2312" w:cs="仿宋_GB2312"/>
          <w:sz w:val="32"/>
          <w:szCs w:val="32"/>
        </w:rPr>
        <w:t>（四）绩效目标设置情况</w:t>
      </w:r>
    </w:p>
    <w:p w14:paraId="20EFA8DD">
      <w:pPr>
        <w:tabs>
          <w:tab w:val="left" w:pos="7513"/>
        </w:tabs>
        <w:adjustRightInd w:val="0"/>
        <w:snapToGrid w:val="0"/>
        <w:spacing w:line="560" w:lineRule="exact"/>
        <w:ind w:firstLine="640" w:firstLineChars="200"/>
        <w:rPr>
          <w:rFonts w:ascii="仿宋_GB2312" w:hAnsi="仿宋" w:eastAsia="仿宋_GB2312" w:cs="宋体"/>
          <w:kern w:val="0"/>
          <w:sz w:val="32"/>
          <w:szCs w:val="32"/>
        </w:rPr>
      </w:pPr>
      <w:r>
        <w:rPr>
          <w:rFonts w:hint="eastAsia" w:ascii="仿宋_GB2312" w:hAnsi="仿?_GB2312" w:eastAsia="仿宋_GB2312" w:cs="仿宋_GB2312"/>
          <w:color w:val="000000"/>
          <w:sz w:val="32"/>
          <w:szCs w:val="32"/>
        </w:rPr>
        <w:t>厦门市财政信息中心</w:t>
      </w:r>
      <w:r>
        <w:rPr>
          <w:rFonts w:hint="eastAsia" w:ascii="仿宋_GB2312" w:hAnsi="宋体" w:eastAsia="仿宋_GB2312" w:cs="宋体"/>
          <w:kern w:val="0"/>
          <w:sz w:val="32"/>
          <w:szCs w:val="32"/>
        </w:rPr>
        <w:t>2024年实行绩效目标管理的二级项目3个，涉及一般公共预算拨款5400.7万元、</w:t>
      </w:r>
      <w:r>
        <w:rPr>
          <w:rFonts w:ascii="仿宋_GB2312" w:hAnsi="宋体" w:eastAsia="仿宋_GB2312" w:cs="宋体"/>
          <w:kern w:val="0"/>
          <w:sz w:val="32"/>
          <w:szCs w:val="32"/>
        </w:rPr>
        <w:t>政府性基金预算拨款</w:t>
      </w:r>
      <w:r>
        <w:rPr>
          <w:rFonts w:hint="eastAsia" w:ascii="仿宋_GB2312" w:hAnsi="宋体" w:eastAsia="仿宋_GB2312" w:cs="宋体"/>
          <w:kern w:val="0"/>
          <w:sz w:val="32"/>
          <w:szCs w:val="32"/>
        </w:rPr>
        <w:t>0.00万元。</w:t>
      </w:r>
    </w:p>
    <w:p w14:paraId="4DE09032">
      <w:pPr>
        <w:tabs>
          <w:tab w:val="left" w:pos="7513"/>
        </w:tabs>
        <w:adjustRightInd w:val="0"/>
        <w:snapToGrid w:val="0"/>
        <w:spacing w:line="560" w:lineRule="exact"/>
        <w:jc w:val="center"/>
        <w:rPr>
          <w:rFonts w:ascii="黑体" w:hAnsi="黑体" w:eastAsia="黑体"/>
          <w:sz w:val="32"/>
          <w:szCs w:val="32"/>
        </w:rPr>
      </w:pPr>
      <w:r>
        <w:rPr>
          <w:rFonts w:hint="eastAsia" w:ascii="黑体" w:hAnsi="黑体" w:eastAsia="黑体"/>
          <w:sz w:val="32"/>
          <w:szCs w:val="32"/>
        </w:rPr>
        <w:t>第三部分  名词解释</w:t>
      </w:r>
    </w:p>
    <w:p w14:paraId="6C40E862">
      <w:pPr>
        <w:tabs>
          <w:tab w:val="left" w:pos="7513"/>
        </w:tabs>
        <w:adjustRightInd w:val="0"/>
        <w:snapToGrid w:val="0"/>
        <w:spacing w:line="560" w:lineRule="exact"/>
        <w:ind w:firstLine="640" w:firstLineChars="200"/>
        <w:rPr>
          <w:rFonts w:ascii="仿宋_GB2312" w:hAnsi="仿宋" w:eastAsia="仿宋_GB2312" w:cs="宋体"/>
          <w:kern w:val="0"/>
          <w:sz w:val="32"/>
          <w:szCs w:val="32"/>
        </w:rPr>
      </w:pPr>
      <w:r>
        <w:rPr>
          <w:rFonts w:hint="eastAsia" w:ascii="楷体_GB2312" w:hAnsi="仿宋" w:eastAsia="楷体_GB2312" w:cs="仿宋_GB2312"/>
          <w:sz w:val="32"/>
          <w:szCs w:val="32"/>
        </w:rPr>
        <w:t>一、基本支出</w:t>
      </w:r>
      <w:r>
        <w:rPr>
          <w:rFonts w:hint="eastAsia" w:ascii="楷体_GB2312" w:hAnsi="仿宋" w:eastAsia="楷体_GB2312" w:cs="宋体"/>
          <w:kern w:val="0"/>
          <w:sz w:val="32"/>
          <w:szCs w:val="32"/>
        </w:rPr>
        <w:t>：</w:t>
      </w:r>
      <w:r>
        <w:rPr>
          <w:rFonts w:hint="eastAsia" w:ascii="仿宋_GB2312" w:hAnsi="仿宋" w:eastAsia="仿宋_GB2312" w:cs="宋体"/>
          <w:kern w:val="0"/>
          <w:sz w:val="32"/>
          <w:szCs w:val="32"/>
        </w:rPr>
        <w:t>指为保障机构正常运转、完成日常工作任务而发生的人员支出、对个人和家庭的补助支出和公用支出。</w:t>
      </w:r>
    </w:p>
    <w:p w14:paraId="0F5CE09D">
      <w:pPr>
        <w:tabs>
          <w:tab w:val="left" w:pos="7513"/>
        </w:tabs>
        <w:adjustRightInd w:val="0"/>
        <w:snapToGrid w:val="0"/>
        <w:spacing w:line="560" w:lineRule="exact"/>
        <w:ind w:firstLine="640" w:firstLineChars="200"/>
        <w:rPr>
          <w:rFonts w:ascii="仿宋_GB2312" w:hAnsi="仿宋" w:eastAsia="仿宋_GB2312" w:cs="宋体"/>
          <w:kern w:val="0"/>
          <w:sz w:val="32"/>
          <w:szCs w:val="32"/>
        </w:rPr>
      </w:pPr>
      <w:r>
        <w:rPr>
          <w:rFonts w:hint="eastAsia" w:ascii="楷体_GB2312" w:hAnsi="仿宋" w:eastAsia="楷体_GB2312" w:cs="仿宋_GB2312"/>
          <w:sz w:val="32"/>
          <w:szCs w:val="32"/>
        </w:rPr>
        <w:t>二、项目支出</w:t>
      </w:r>
      <w:r>
        <w:rPr>
          <w:rFonts w:hint="eastAsia" w:ascii="楷体_GB2312" w:hAnsi="仿宋" w:eastAsia="楷体_GB2312" w:cs="宋体"/>
          <w:kern w:val="0"/>
          <w:sz w:val="32"/>
          <w:szCs w:val="32"/>
        </w:rPr>
        <w:t>：</w:t>
      </w:r>
      <w:r>
        <w:rPr>
          <w:rFonts w:hint="eastAsia" w:ascii="仿宋_GB2312" w:hAnsi="仿宋" w:eastAsia="仿宋_GB2312" w:cs="宋体"/>
          <w:kern w:val="0"/>
          <w:sz w:val="32"/>
          <w:szCs w:val="32"/>
        </w:rPr>
        <w:t>指在基本支出之外为完成特定行政任务和事业发展目标所发生的支出，</w:t>
      </w:r>
      <w:r>
        <w:rPr>
          <w:rFonts w:hint="eastAsia" w:ascii="仿宋_GB2312" w:hAnsi="仿宋" w:eastAsia="仿宋_GB2312"/>
          <w:sz w:val="32"/>
          <w:szCs w:val="32"/>
        </w:rPr>
        <w:t>包括部门专项、发展经费和基建项目。</w:t>
      </w:r>
    </w:p>
    <w:p w14:paraId="3DB42A14">
      <w:pPr>
        <w:tabs>
          <w:tab w:val="left" w:pos="7513"/>
        </w:tabs>
        <w:adjustRightInd w:val="0"/>
        <w:snapToGrid w:val="0"/>
        <w:spacing w:line="560" w:lineRule="exact"/>
        <w:ind w:firstLine="640" w:firstLineChars="200"/>
        <w:rPr>
          <w:rFonts w:ascii="仿宋_GB2312" w:hAnsi="仿宋" w:eastAsia="仿宋_GB2312" w:cs="宋体"/>
          <w:kern w:val="0"/>
          <w:sz w:val="32"/>
          <w:szCs w:val="32"/>
        </w:rPr>
      </w:pPr>
      <w:r>
        <w:rPr>
          <w:rFonts w:hint="eastAsia" w:ascii="楷体_GB2312" w:hAnsi="仿宋" w:eastAsia="楷体_GB2312" w:cs="仿宋_GB2312"/>
          <w:sz w:val="32"/>
          <w:szCs w:val="32"/>
        </w:rPr>
        <w:t>三、“三公”经费</w:t>
      </w:r>
      <w:r>
        <w:rPr>
          <w:rFonts w:hint="eastAsia" w:ascii="楷体_GB2312" w:hAnsi="仿宋" w:eastAsia="楷体_GB2312" w:cs="宋体"/>
          <w:kern w:val="0"/>
          <w:sz w:val="32"/>
          <w:szCs w:val="32"/>
        </w:rPr>
        <w:t>：</w:t>
      </w:r>
      <w:r>
        <w:rPr>
          <w:rFonts w:hint="eastAsia" w:ascii="仿宋_GB2312" w:hAnsi="仿宋" w:eastAsia="仿宋_GB2312" w:cs="宋体"/>
          <w:kern w:val="0"/>
          <w:sz w:val="32"/>
          <w:szCs w:val="32"/>
        </w:rPr>
        <w:t>纳入财政预决算管理的“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牌照费）、燃料费、维修费、过路过桥费、保险费、安全奖励费用等支出；公务接待费反映单位按规定开支的各类公务接待（含外宾接待）支出。</w:t>
      </w:r>
    </w:p>
    <w:p w14:paraId="51E82D2D">
      <w:pPr>
        <w:tabs>
          <w:tab w:val="left" w:pos="7513"/>
        </w:tabs>
        <w:adjustRightInd w:val="0"/>
        <w:snapToGrid w:val="0"/>
        <w:spacing w:line="560" w:lineRule="exact"/>
        <w:ind w:firstLine="640" w:firstLineChars="200"/>
        <w:rPr>
          <w:rFonts w:ascii="仿宋_GB2312" w:hAnsi="仿宋" w:eastAsia="仿宋_GB2312" w:cs="宋体"/>
          <w:kern w:val="0"/>
          <w:sz w:val="32"/>
          <w:szCs w:val="32"/>
        </w:rPr>
      </w:pPr>
      <w:r>
        <w:rPr>
          <w:rFonts w:hint="eastAsia" w:ascii="楷体_GB2312" w:hAnsi="仿宋" w:eastAsia="楷体_GB2312" w:cs="仿宋_GB2312"/>
          <w:sz w:val="32"/>
          <w:szCs w:val="32"/>
        </w:rPr>
        <w:t>四、事业运行经费</w:t>
      </w:r>
      <w:r>
        <w:rPr>
          <w:rFonts w:hint="eastAsia" w:ascii="楷体_GB2312" w:hAnsi="仿宋" w:eastAsia="楷体_GB2312" w:cs="宋体"/>
          <w:kern w:val="0"/>
          <w:sz w:val="32"/>
          <w:szCs w:val="32"/>
        </w:rPr>
        <w:t>：</w:t>
      </w:r>
      <w:r>
        <w:rPr>
          <w:rFonts w:hint="eastAsia" w:ascii="仿宋_GB2312" w:hAnsi="仿宋" w:eastAsia="仿宋_GB2312" w:cs="宋体"/>
          <w:kern w:val="0"/>
          <w:sz w:val="32"/>
          <w:szCs w:val="32"/>
        </w:rPr>
        <w:t>为保障行政单位（包括参照公务员法管理的事业单位）运行用于购买货物和服务的各项资金，包括办公及印刷费、邮电费、差旅费、会议费、福利费、日常维修费、专用材料及一般设备购置费、办公用房水电费、办公用房物业管理费、公务用车运行维护费以及其他费用。</w:t>
      </w:r>
    </w:p>
    <w:p w14:paraId="3C8F6F0F">
      <w:pPr>
        <w:tabs>
          <w:tab w:val="left" w:pos="7513"/>
        </w:tabs>
        <w:adjustRightInd w:val="0"/>
        <w:snapToGrid w:val="0"/>
        <w:spacing w:line="560" w:lineRule="exact"/>
        <w:jc w:val="center"/>
        <w:rPr>
          <w:rFonts w:ascii="黑体" w:hAnsi="黑体" w:eastAsia="黑体"/>
          <w:sz w:val="32"/>
          <w:szCs w:val="32"/>
        </w:rPr>
      </w:pPr>
      <w:r>
        <w:rPr>
          <w:rFonts w:hint="eastAsia" w:ascii="黑体" w:hAnsi="黑体" w:eastAsia="黑体"/>
          <w:sz w:val="32"/>
          <w:szCs w:val="32"/>
        </w:rPr>
        <w:t>第四部分  2024年单位预算附表</w:t>
      </w:r>
    </w:p>
    <w:p w14:paraId="7EA7B83C">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一、部门收支预算总体情况表</w:t>
      </w:r>
    </w:p>
    <w:p w14:paraId="089C8E6A">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二、部门收入预算总体情况表</w:t>
      </w:r>
    </w:p>
    <w:p w14:paraId="4D85CFE5">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三、部门支出预算总体情况表</w:t>
      </w:r>
    </w:p>
    <w:p w14:paraId="251926CE">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四、财政拨款收支预算总体情况表</w:t>
      </w:r>
    </w:p>
    <w:p w14:paraId="4A955E3C">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五、一般公共预算支出情况表</w:t>
      </w:r>
    </w:p>
    <w:p w14:paraId="448F61D1">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六、一般公共预算基本支出情况表（经济分类款级科目）</w:t>
      </w:r>
    </w:p>
    <w:p w14:paraId="382CA20B">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七、一般公共预算“三公”经费支出情况表</w:t>
      </w:r>
    </w:p>
    <w:p w14:paraId="282542A3">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八、政府性基金预算支出情况表</w:t>
      </w:r>
    </w:p>
    <w:p w14:paraId="644DD23D">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九、市对区转移支付支出预算表</w:t>
      </w:r>
    </w:p>
    <w:p w14:paraId="50428164">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p>
    <w:p w14:paraId="6B1781B6"/>
    <w:sectPr>
      <w:footerReference r:id="rId3" w:type="default"/>
      <w:pgSz w:w="11906" w:h="16838"/>
      <w:pgMar w:top="1440" w:right="1558" w:bottom="1440" w:left="156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5B13B7CD-373A-46B8-8F85-FC8F53B3BCCD}"/>
  </w:font>
  <w:font w:name="黑体">
    <w:panose1 w:val="02010609060101010101"/>
    <w:charset w:val="86"/>
    <w:family w:val="auto"/>
    <w:pitch w:val="default"/>
    <w:sig w:usb0="800002BF" w:usb1="38CF7CFA" w:usb2="00000016" w:usb3="00000000" w:csb0="00040001" w:csb1="00000000"/>
    <w:embedRegular r:id="rId2" w:fontKey="{6D3371FB-B407-4512-B132-68AA8BF889F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embedRegular r:id="rId3" w:fontKey="{CEA83AD3-87A5-4F9A-8A08-DD92302F85C6}"/>
  </w:font>
  <w:font w:name="仿宋">
    <w:panose1 w:val="02010609060101010101"/>
    <w:charset w:val="86"/>
    <w:family w:val="modern"/>
    <w:pitch w:val="default"/>
    <w:sig w:usb0="800002BF" w:usb1="38CF7CFA" w:usb2="00000016" w:usb3="00000000" w:csb0="00040001" w:csb1="00000000"/>
    <w:embedRegular r:id="rId4" w:fontKey="{AA4F8639-AA9F-4AD8-8487-043A5A649F94}"/>
  </w:font>
  <w:font w:name="仿宋_GB2312">
    <w:panose1 w:val="02010609030101010101"/>
    <w:charset w:val="86"/>
    <w:family w:val="modern"/>
    <w:pitch w:val="default"/>
    <w:sig w:usb0="00000001" w:usb1="080E0000" w:usb2="00000000" w:usb3="00000000" w:csb0="00040000" w:csb1="00000000"/>
    <w:embedRegular r:id="rId5" w:fontKey="{C98BE1D6-B9F2-4AAF-92C1-2A61CAA27EC4}"/>
  </w:font>
  <w:font w:name="黑?">
    <w:altName w:val="黑体"/>
    <w:panose1 w:val="00000000000000000000"/>
    <w:charset w:val="00"/>
    <w:family w:val="roman"/>
    <w:pitch w:val="default"/>
    <w:sig w:usb0="00000000" w:usb1="00000000" w:usb2="00000000" w:usb3="00000000" w:csb0="00000001" w:csb1="00000000"/>
  </w:font>
  <w:font w:name="仿?_GB2312">
    <w:altName w:val="Segoe Print"/>
    <w:panose1 w:val="00000000000000000000"/>
    <w:charset w:val="00"/>
    <w:family w:val="roman"/>
    <w:pitch w:val="default"/>
    <w:sig w:usb0="00000000" w:usb1="00000000" w:usb2="00000000" w:usb3="00000000" w:csb0="00000001" w:csb1="00000000"/>
  </w:font>
  <w:font w:name="楷体_GB2312">
    <w:panose1 w:val="02010609030101010101"/>
    <w:charset w:val="86"/>
    <w:family w:val="modern"/>
    <w:pitch w:val="default"/>
    <w:sig w:usb0="00000001" w:usb1="080E0000" w:usb2="00000000" w:usb3="00000000" w:csb0="00040000" w:csb1="00000000"/>
    <w:embedRegular r:id="rId6" w:fontKey="{6FCFD556-BAB6-42CE-9B92-3D553F340369}"/>
  </w:font>
  <w:font w:name="楷体">
    <w:panose1 w:val="02010609060101010101"/>
    <w:charset w:val="86"/>
    <w:family w:val="modern"/>
    <w:pitch w:val="default"/>
    <w:sig w:usb0="800002BF" w:usb1="38CF7CFA" w:usb2="00000016" w:usb3="00000000" w:csb0="00040001" w:csb1="00000000"/>
    <w:embedRegular r:id="rId7" w:fontKey="{19EB1540-FF61-401E-92F2-2DE70C056FD2}"/>
  </w:font>
  <w:font w:name="??_GB2312">
    <w:altName w:val="Times New Roman"/>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5169C5">
    <w:pPr>
      <w:pStyle w:val="4"/>
      <w:jc w:val="center"/>
    </w:pPr>
    <w:r>
      <w:fldChar w:fldCharType="begin"/>
    </w:r>
    <w:r>
      <w:instrText xml:space="preserve">PAGE   \* MERGEFORMAT</w:instrText>
    </w:r>
    <w:r>
      <w:fldChar w:fldCharType="separate"/>
    </w:r>
    <w:r>
      <w:rPr>
        <w:lang w:val="zh-CN"/>
      </w:rPr>
      <w:t>1</w:t>
    </w:r>
    <w:r>
      <w:fldChar w:fldCharType="end"/>
    </w:r>
  </w:p>
  <w:p w14:paraId="645FD5DE">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FE034B"/>
    <w:multiLevelType w:val="singleLevel"/>
    <w:tmpl w:val="FDFE034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JlMmVjYjkyMGQwY2IyNDQzMmMzMjhhYTdjMTVjYTQifQ=="/>
  </w:docVars>
  <w:rsids>
    <w:rsidRoot w:val="008949EE"/>
    <w:rsid w:val="00011F70"/>
    <w:rsid w:val="00027C23"/>
    <w:rsid w:val="0003535B"/>
    <w:rsid w:val="0004084D"/>
    <w:rsid w:val="00044A26"/>
    <w:rsid w:val="0004760B"/>
    <w:rsid w:val="00054D99"/>
    <w:rsid w:val="00056AA5"/>
    <w:rsid w:val="00060888"/>
    <w:rsid w:val="00063F98"/>
    <w:rsid w:val="00072629"/>
    <w:rsid w:val="00072B3C"/>
    <w:rsid w:val="00081679"/>
    <w:rsid w:val="00083C6E"/>
    <w:rsid w:val="00086542"/>
    <w:rsid w:val="00087142"/>
    <w:rsid w:val="000911B3"/>
    <w:rsid w:val="00093C88"/>
    <w:rsid w:val="000A347D"/>
    <w:rsid w:val="000A4E2D"/>
    <w:rsid w:val="000B20BF"/>
    <w:rsid w:val="000B270F"/>
    <w:rsid w:val="000B35E3"/>
    <w:rsid w:val="000B513A"/>
    <w:rsid w:val="000C4473"/>
    <w:rsid w:val="000C6902"/>
    <w:rsid w:val="000D1FE9"/>
    <w:rsid w:val="000D510A"/>
    <w:rsid w:val="000F4A1F"/>
    <w:rsid w:val="00102DE3"/>
    <w:rsid w:val="00110A43"/>
    <w:rsid w:val="001123C2"/>
    <w:rsid w:val="001244C3"/>
    <w:rsid w:val="00124782"/>
    <w:rsid w:val="00142E7E"/>
    <w:rsid w:val="00143956"/>
    <w:rsid w:val="0015430D"/>
    <w:rsid w:val="00183D9F"/>
    <w:rsid w:val="00194CDC"/>
    <w:rsid w:val="001C07A2"/>
    <w:rsid w:val="001C0C70"/>
    <w:rsid w:val="001C2BCE"/>
    <w:rsid w:val="001C3D19"/>
    <w:rsid w:val="001D0C18"/>
    <w:rsid w:val="001E3029"/>
    <w:rsid w:val="001E746A"/>
    <w:rsid w:val="001F081D"/>
    <w:rsid w:val="001F2BC8"/>
    <w:rsid w:val="00201B3A"/>
    <w:rsid w:val="00202FAB"/>
    <w:rsid w:val="0021318E"/>
    <w:rsid w:val="0021633F"/>
    <w:rsid w:val="00225095"/>
    <w:rsid w:val="002258C2"/>
    <w:rsid w:val="002347BE"/>
    <w:rsid w:val="00246FE3"/>
    <w:rsid w:val="00277C09"/>
    <w:rsid w:val="00283F0D"/>
    <w:rsid w:val="002849F7"/>
    <w:rsid w:val="00285B27"/>
    <w:rsid w:val="00291E51"/>
    <w:rsid w:val="0029486A"/>
    <w:rsid w:val="0029523A"/>
    <w:rsid w:val="002B3799"/>
    <w:rsid w:val="002B69EC"/>
    <w:rsid w:val="002D5926"/>
    <w:rsid w:val="002E6C9E"/>
    <w:rsid w:val="00302554"/>
    <w:rsid w:val="003059CE"/>
    <w:rsid w:val="00312757"/>
    <w:rsid w:val="0032657E"/>
    <w:rsid w:val="003343CA"/>
    <w:rsid w:val="0033593B"/>
    <w:rsid w:val="00347920"/>
    <w:rsid w:val="00352459"/>
    <w:rsid w:val="003525EC"/>
    <w:rsid w:val="00354087"/>
    <w:rsid w:val="00357878"/>
    <w:rsid w:val="003834C7"/>
    <w:rsid w:val="003A03A0"/>
    <w:rsid w:val="003A03CF"/>
    <w:rsid w:val="003B2FEF"/>
    <w:rsid w:val="003C0048"/>
    <w:rsid w:val="003C0D08"/>
    <w:rsid w:val="003C20FA"/>
    <w:rsid w:val="003C733B"/>
    <w:rsid w:val="003D2484"/>
    <w:rsid w:val="003D7735"/>
    <w:rsid w:val="003E7566"/>
    <w:rsid w:val="003F0251"/>
    <w:rsid w:val="003F2A93"/>
    <w:rsid w:val="003F32FF"/>
    <w:rsid w:val="003F5F7C"/>
    <w:rsid w:val="00400714"/>
    <w:rsid w:val="00417CF8"/>
    <w:rsid w:val="00422335"/>
    <w:rsid w:val="0042325D"/>
    <w:rsid w:val="00423AC8"/>
    <w:rsid w:val="00443846"/>
    <w:rsid w:val="00446FD2"/>
    <w:rsid w:val="004663AD"/>
    <w:rsid w:val="004679D8"/>
    <w:rsid w:val="00471C45"/>
    <w:rsid w:val="00480BA7"/>
    <w:rsid w:val="00485870"/>
    <w:rsid w:val="00486465"/>
    <w:rsid w:val="004867E1"/>
    <w:rsid w:val="0048698C"/>
    <w:rsid w:val="00491635"/>
    <w:rsid w:val="00496E51"/>
    <w:rsid w:val="00496F04"/>
    <w:rsid w:val="004B2261"/>
    <w:rsid w:val="004B2B80"/>
    <w:rsid w:val="004B4962"/>
    <w:rsid w:val="004B7707"/>
    <w:rsid w:val="004C4011"/>
    <w:rsid w:val="004D0752"/>
    <w:rsid w:val="004D2314"/>
    <w:rsid w:val="004D3655"/>
    <w:rsid w:val="004D40B2"/>
    <w:rsid w:val="004D54E5"/>
    <w:rsid w:val="0050745E"/>
    <w:rsid w:val="00507955"/>
    <w:rsid w:val="00512512"/>
    <w:rsid w:val="00521970"/>
    <w:rsid w:val="00531E06"/>
    <w:rsid w:val="005320B4"/>
    <w:rsid w:val="00541432"/>
    <w:rsid w:val="005465A8"/>
    <w:rsid w:val="00547EA9"/>
    <w:rsid w:val="00561A40"/>
    <w:rsid w:val="00566B8A"/>
    <w:rsid w:val="00576E40"/>
    <w:rsid w:val="0058236E"/>
    <w:rsid w:val="005901C5"/>
    <w:rsid w:val="0059684A"/>
    <w:rsid w:val="005A43C7"/>
    <w:rsid w:val="005B0791"/>
    <w:rsid w:val="005C3DC9"/>
    <w:rsid w:val="005D73C2"/>
    <w:rsid w:val="005E0B0C"/>
    <w:rsid w:val="005E6DC2"/>
    <w:rsid w:val="005F6217"/>
    <w:rsid w:val="00602033"/>
    <w:rsid w:val="006079BB"/>
    <w:rsid w:val="00610932"/>
    <w:rsid w:val="00636C93"/>
    <w:rsid w:val="00637376"/>
    <w:rsid w:val="00652BBE"/>
    <w:rsid w:val="00653E9C"/>
    <w:rsid w:val="0067000C"/>
    <w:rsid w:val="006714CB"/>
    <w:rsid w:val="006862AF"/>
    <w:rsid w:val="006A0839"/>
    <w:rsid w:val="006A57D6"/>
    <w:rsid w:val="006A711E"/>
    <w:rsid w:val="006B3FC9"/>
    <w:rsid w:val="006C1D0C"/>
    <w:rsid w:val="006D13E4"/>
    <w:rsid w:val="006D4F4C"/>
    <w:rsid w:val="006D58C9"/>
    <w:rsid w:val="006E0639"/>
    <w:rsid w:val="006E765D"/>
    <w:rsid w:val="00706B86"/>
    <w:rsid w:val="00710DD3"/>
    <w:rsid w:val="0071256B"/>
    <w:rsid w:val="00715CAF"/>
    <w:rsid w:val="00721854"/>
    <w:rsid w:val="00723485"/>
    <w:rsid w:val="007310FD"/>
    <w:rsid w:val="00741844"/>
    <w:rsid w:val="00745CFE"/>
    <w:rsid w:val="00747C46"/>
    <w:rsid w:val="0075084B"/>
    <w:rsid w:val="00751AE5"/>
    <w:rsid w:val="0076589D"/>
    <w:rsid w:val="00785863"/>
    <w:rsid w:val="00787F67"/>
    <w:rsid w:val="0079133D"/>
    <w:rsid w:val="007A01E2"/>
    <w:rsid w:val="007C0D29"/>
    <w:rsid w:val="007C1C49"/>
    <w:rsid w:val="007E7885"/>
    <w:rsid w:val="00803EF7"/>
    <w:rsid w:val="008149C8"/>
    <w:rsid w:val="00816A62"/>
    <w:rsid w:val="00816ACF"/>
    <w:rsid w:val="00816C75"/>
    <w:rsid w:val="008252EC"/>
    <w:rsid w:val="008534BC"/>
    <w:rsid w:val="00856312"/>
    <w:rsid w:val="00860A3D"/>
    <w:rsid w:val="00861796"/>
    <w:rsid w:val="00864DC1"/>
    <w:rsid w:val="008703B7"/>
    <w:rsid w:val="00877433"/>
    <w:rsid w:val="00881E4D"/>
    <w:rsid w:val="00886BA2"/>
    <w:rsid w:val="008949EE"/>
    <w:rsid w:val="008B37DD"/>
    <w:rsid w:val="008D293B"/>
    <w:rsid w:val="008E1B08"/>
    <w:rsid w:val="008E1E19"/>
    <w:rsid w:val="008E5033"/>
    <w:rsid w:val="008F7E7A"/>
    <w:rsid w:val="00901E3B"/>
    <w:rsid w:val="00907238"/>
    <w:rsid w:val="009074E7"/>
    <w:rsid w:val="00911D15"/>
    <w:rsid w:val="00922836"/>
    <w:rsid w:val="00931D2B"/>
    <w:rsid w:val="00932239"/>
    <w:rsid w:val="00933644"/>
    <w:rsid w:val="00933DA8"/>
    <w:rsid w:val="009359C6"/>
    <w:rsid w:val="00935DF9"/>
    <w:rsid w:val="00942DC2"/>
    <w:rsid w:val="0094424A"/>
    <w:rsid w:val="0094666C"/>
    <w:rsid w:val="00950BC6"/>
    <w:rsid w:val="00951544"/>
    <w:rsid w:val="00964A3D"/>
    <w:rsid w:val="00965A29"/>
    <w:rsid w:val="00970A4C"/>
    <w:rsid w:val="0098564A"/>
    <w:rsid w:val="009924C0"/>
    <w:rsid w:val="00995172"/>
    <w:rsid w:val="009A13DB"/>
    <w:rsid w:val="009A4709"/>
    <w:rsid w:val="009A5598"/>
    <w:rsid w:val="009B07EF"/>
    <w:rsid w:val="009B0D26"/>
    <w:rsid w:val="009B26D1"/>
    <w:rsid w:val="009B349F"/>
    <w:rsid w:val="009C0B9A"/>
    <w:rsid w:val="009C66EF"/>
    <w:rsid w:val="009D0E86"/>
    <w:rsid w:val="009D1D6B"/>
    <w:rsid w:val="009D6DDE"/>
    <w:rsid w:val="009D71DC"/>
    <w:rsid w:val="009E20E6"/>
    <w:rsid w:val="009E2614"/>
    <w:rsid w:val="009F0385"/>
    <w:rsid w:val="009F0ECA"/>
    <w:rsid w:val="009F306D"/>
    <w:rsid w:val="009F41FE"/>
    <w:rsid w:val="009F49B6"/>
    <w:rsid w:val="009F65DA"/>
    <w:rsid w:val="009F764B"/>
    <w:rsid w:val="00A007DB"/>
    <w:rsid w:val="00A01BCA"/>
    <w:rsid w:val="00A046C9"/>
    <w:rsid w:val="00A06175"/>
    <w:rsid w:val="00A10CA6"/>
    <w:rsid w:val="00A11DD3"/>
    <w:rsid w:val="00A16990"/>
    <w:rsid w:val="00A177BD"/>
    <w:rsid w:val="00A21241"/>
    <w:rsid w:val="00A323E3"/>
    <w:rsid w:val="00A33DF4"/>
    <w:rsid w:val="00A62D5A"/>
    <w:rsid w:val="00A6507F"/>
    <w:rsid w:val="00A700E2"/>
    <w:rsid w:val="00A80D9C"/>
    <w:rsid w:val="00A8302E"/>
    <w:rsid w:val="00A835F8"/>
    <w:rsid w:val="00A9223C"/>
    <w:rsid w:val="00AB479A"/>
    <w:rsid w:val="00AB6D78"/>
    <w:rsid w:val="00AC62A2"/>
    <w:rsid w:val="00AE1880"/>
    <w:rsid w:val="00AF00AD"/>
    <w:rsid w:val="00AF77EC"/>
    <w:rsid w:val="00B051BA"/>
    <w:rsid w:val="00B230D6"/>
    <w:rsid w:val="00B31591"/>
    <w:rsid w:val="00B3391B"/>
    <w:rsid w:val="00B362C1"/>
    <w:rsid w:val="00B363C5"/>
    <w:rsid w:val="00B463C4"/>
    <w:rsid w:val="00B504D3"/>
    <w:rsid w:val="00B51319"/>
    <w:rsid w:val="00B51DB6"/>
    <w:rsid w:val="00B5243A"/>
    <w:rsid w:val="00B63BD0"/>
    <w:rsid w:val="00B6730A"/>
    <w:rsid w:val="00B70CFF"/>
    <w:rsid w:val="00B71CFF"/>
    <w:rsid w:val="00B71D54"/>
    <w:rsid w:val="00B71FC9"/>
    <w:rsid w:val="00B80401"/>
    <w:rsid w:val="00B81624"/>
    <w:rsid w:val="00B818B4"/>
    <w:rsid w:val="00B90E55"/>
    <w:rsid w:val="00BB34B3"/>
    <w:rsid w:val="00BB3C4B"/>
    <w:rsid w:val="00BC41A9"/>
    <w:rsid w:val="00BE4DD7"/>
    <w:rsid w:val="00BF25E7"/>
    <w:rsid w:val="00C00940"/>
    <w:rsid w:val="00C009BD"/>
    <w:rsid w:val="00C0484A"/>
    <w:rsid w:val="00C145BF"/>
    <w:rsid w:val="00C15E8B"/>
    <w:rsid w:val="00C17BCD"/>
    <w:rsid w:val="00C230DD"/>
    <w:rsid w:val="00C24DF9"/>
    <w:rsid w:val="00C301C1"/>
    <w:rsid w:val="00C3234E"/>
    <w:rsid w:val="00C4025B"/>
    <w:rsid w:val="00C63B14"/>
    <w:rsid w:val="00C731CE"/>
    <w:rsid w:val="00C73AE4"/>
    <w:rsid w:val="00C90474"/>
    <w:rsid w:val="00C938C7"/>
    <w:rsid w:val="00C946FE"/>
    <w:rsid w:val="00C962AE"/>
    <w:rsid w:val="00CA18AE"/>
    <w:rsid w:val="00CA1A5A"/>
    <w:rsid w:val="00CA3D8D"/>
    <w:rsid w:val="00CB0E17"/>
    <w:rsid w:val="00CB3AC3"/>
    <w:rsid w:val="00CD15E8"/>
    <w:rsid w:val="00CD7B6A"/>
    <w:rsid w:val="00CE6D14"/>
    <w:rsid w:val="00CE76F0"/>
    <w:rsid w:val="00CF4ECA"/>
    <w:rsid w:val="00CF5F7C"/>
    <w:rsid w:val="00D053E1"/>
    <w:rsid w:val="00D10375"/>
    <w:rsid w:val="00D2002A"/>
    <w:rsid w:val="00D343A7"/>
    <w:rsid w:val="00D406FF"/>
    <w:rsid w:val="00D44596"/>
    <w:rsid w:val="00D50B64"/>
    <w:rsid w:val="00D50CEC"/>
    <w:rsid w:val="00D657F9"/>
    <w:rsid w:val="00D66ECE"/>
    <w:rsid w:val="00D80840"/>
    <w:rsid w:val="00D82DAD"/>
    <w:rsid w:val="00D84E18"/>
    <w:rsid w:val="00D93EBE"/>
    <w:rsid w:val="00D96364"/>
    <w:rsid w:val="00DB1334"/>
    <w:rsid w:val="00DB1386"/>
    <w:rsid w:val="00DB192F"/>
    <w:rsid w:val="00DC41B9"/>
    <w:rsid w:val="00DD2F36"/>
    <w:rsid w:val="00E11232"/>
    <w:rsid w:val="00E13112"/>
    <w:rsid w:val="00E13546"/>
    <w:rsid w:val="00E146CE"/>
    <w:rsid w:val="00E152E4"/>
    <w:rsid w:val="00E15DE1"/>
    <w:rsid w:val="00E23B86"/>
    <w:rsid w:val="00E256CD"/>
    <w:rsid w:val="00E274CD"/>
    <w:rsid w:val="00E303CE"/>
    <w:rsid w:val="00E452DC"/>
    <w:rsid w:val="00E52BC6"/>
    <w:rsid w:val="00E55C0F"/>
    <w:rsid w:val="00E616B8"/>
    <w:rsid w:val="00E64283"/>
    <w:rsid w:val="00E669ED"/>
    <w:rsid w:val="00E67E4C"/>
    <w:rsid w:val="00E7153C"/>
    <w:rsid w:val="00E723EA"/>
    <w:rsid w:val="00E81FC6"/>
    <w:rsid w:val="00E834BF"/>
    <w:rsid w:val="00EA5B91"/>
    <w:rsid w:val="00EB4B25"/>
    <w:rsid w:val="00EB4F44"/>
    <w:rsid w:val="00EC5335"/>
    <w:rsid w:val="00EC62CC"/>
    <w:rsid w:val="00ED58A8"/>
    <w:rsid w:val="00EE2EE7"/>
    <w:rsid w:val="00EF29FF"/>
    <w:rsid w:val="00EF2D9E"/>
    <w:rsid w:val="00F0419B"/>
    <w:rsid w:val="00F13270"/>
    <w:rsid w:val="00F1421E"/>
    <w:rsid w:val="00F20B42"/>
    <w:rsid w:val="00F374DA"/>
    <w:rsid w:val="00F42441"/>
    <w:rsid w:val="00F46985"/>
    <w:rsid w:val="00F55310"/>
    <w:rsid w:val="00F61403"/>
    <w:rsid w:val="00F61661"/>
    <w:rsid w:val="00F630A7"/>
    <w:rsid w:val="00F6335C"/>
    <w:rsid w:val="00F67F31"/>
    <w:rsid w:val="00F82012"/>
    <w:rsid w:val="00FB67D9"/>
    <w:rsid w:val="00FB6915"/>
    <w:rsid w:val="00FC0895"/>
    <w:rsid w:val="00FD3AFB"/>
    <w:rsid w:val="00FD3ED7"/>
    <w:rsid w:val="00FE0C2D"/>
    <w:rsid w:val="00FE1E0F"/>
    <w:rsid w:val="00FE53F8"/>
    <w:rsid w:val="00FF177F"/>
    <w:rsid w:val="00FF476E"/>
    <w:rsid w:val="00FF6E61"/>
    <w:rsid w:val="00FF72E4"/>
    <w:rsid w:val="033E7286"/>
    <w:rsid w:val="077004B5"/>
    <w:rsid w:val="1FBFB567"/>
    <w:rsid w:val="2B555F67"/>
    <w:rsid w:val="2F0522D3"/>
    <w:rsid w:val="31906AAA"/>
    <w:rsid w:val="5B0C2AA3"/>
    <w:rsid w:val="5B3FFF50"/>
    <w:rsid w:val="66577539"/>
    <w:rsid w:val="75D1636A"/>
    <w:rsid w:val="7C8456BA"/>
    <w:rsid w:val="7F673003"/>
    <w:rsid w:val="7F800765"/>
    <w:rsid w:val="7FFD0747"/>
    <w:rsid w:val="DD9F5DC7"/>
    <w:rsid w:val="F9EF4B1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0"/>
    <w:pPr>
      <w:spacing w:after="120"/>
    </w:pPr>
  </w:style>
  <w:style w:type="paragraph" w:styleId="3">
    <w:name w:val="Balloon Text"/>
    <w:basedOn w:val="1"/>
    <w:link w:val="12"/>
    <w:semiHidden/>
    <w:unhideWhenUsed/>
    <w:qFormat/>
    <w:uiPriority w:val="99"/>
    <w:rPr>
      <w:sz w:val="18"/>
      <w:szCs w:val="18"/>
    </w:rPr>
  </w:style>
  <w:style w:type="paragraph" w:styleId="4">
    <w:name w:val="footer"/>
    <w:basedOn w:val="1"/>
    <w:link w:val="9"/>
    <w:autoRedefine/>
    <w:unhideWhenUsed/>
    <w:qFormat/>
    <w:uiPriority w:val="99"/>
    <w:pPr>
      <w:tabs>
        <w:tab w:val="center" w:pos="4153"/>
        <w:tab w:val="right" w:pos="8306"/>
      </w:tabs>
      <w:snapToGrid w:val="0"/>
      <w:jc w:val="left"/>
    </w:pPr>
    <w:rPr>
      <w:kern w:val="0"/>
      <w:sz w:val="18"/>
      <w:szCs w:val="18"/>
    </w:rPr>
  </w:style>
  <w:style w:type="paragraph" w:styleId="5">
    <w:name w:val="header"/>
    <w:basedOn w:val="1"/>
    <w:link w:val="10"/>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unhideWhenUsed/>
    <w:qFormat/>
    <w:uiPriority w:val="99"/>
    <w:pPr>
      <w:widowControl/>
      <w:spacing w:before="100" w:beforeAutospacing="1" w:after="100" w:afterAutospacing="1"/>
      <w:jc w:val="left"/>
    </w:pPr>
    <w:rPr>
      <w:rFonts w:ascii="宋体" w:hAnsi="宋体" w:cs="宋体"/>
      <w:color w:val="000000"/>
      <w:kern w:val="0"/>
      <w:sz w:val="24"/>
    </w:rPr>
  </w:style>
  <w:style w:type="character" w:customStyle="1" w:styleId="9">
    <w:name w:val="页脚 Char"/>
    <w:basedOn w:val="8"/>
    <w:link w:val="4"/>
    <w:autoRedefine/>
    <w:qFormat/>
    <w:uiPriority w:val="99"/>
    <w:rPr>
      <w:rFonts w:ascii="Calibri" w:hAnsi="Calibri" w:eastAsia="宋体" w:cs="Times New Roman"/>
      <w:kern w:val="0"/>
      <w:sz w:val="18"/>
      <w:szCs w:val="18"/>
    </w:rPr>
  </w:style>
  <w:style w:type="character" w:customStyle="1" w:styleId="10">
    <w:name w:val="页眉 Char"/>
    <w:basedOn w:val="8"/>
    <w:link w:val="5"/>
    <w:autoRedefine/>
    <w:semiHidden/>
    <w:qFormat/>
    <w:uiPriority w:val="99"/>
    <w:rPr>
      <w:rFonts w:ascii="Calibri" w:hAnsi="Calibri" w:eastAsia="宋体" w:cs="Times New Roman"/>
      <w:kern w:val="2"/>
      <w:sz w:val="18"/>
      <w:szCs w:val="18"/>
    </w:rPr>
  </w:style>
  <w:style w:type="paragraph" w:customStyle="1" w:styleId="11">
    <w:name w:val="p0"/>
    <w:basedOn w:val="1"/>
    <w:autoRedefine/>
    <w:unhideWhenUsed/>
    <w:qFormat/>
    <w:uiPriority w:val="99"/>
    <w:pPr>
      <w:widowControl/>
    </w:pPr>
    <w:rPr>
      <w:rFonts w:hint="eastAsia" w:ascii="Times New Roman" w:hAnsi="Times New Roman"/>
      <w:szCs w:val="21"/>
    </w:rPr>
  </w:style>
  <w:style w:type="character" w:customStyle="1" w:styleId="12">
    <w:name w:val="批注框文本 Char"/>
    <w:basedOn w:val="8"/>
    <w:link w:val="3"/>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神州网信技术有限公司</Company>
  <Pages>9</Pages>
  <Words>3221</Words>
  <Characters>3526</Characters>
  <Lines>25</Lines>
  <Paragraphs>7</Paragraphs>
  <TotalTime>4</TotalTime>
  <ScaleCrop>false</ScaleCrop>
  <LinksUpToDate>false</LinksUpToDate>
  <CharactersWithSpaces>3546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2024-02-02T07:07:00Z</dcterms:created>
  <dc:creator>叶展鹏</dc:creator>
  <cp:lastModifiedBy>DELL</cp:lastModifiedBy>
  <cp:lastPrinted>2025-01-02T01:47:00Z</cp:lastPrinted>
  <dcterms:modified xsi:type="dcterms:W3CDTF">2025-01-02T02:44:04Z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42A7F92A28FB4025BAF4FA5EE34D291B_12</vt:lpwstr>
  </property>
</Properties>
</file>